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ind w:leftChars="0"/>
        <w:jc w:val="both"/>
        <w:textAlignment w:val="auto"/>
        <w:rPr>
          <w:rFonts w:hint="eastAsia" w:ascii="华文中宋" w:hAnsi="华文中宋" w:eastAsia="华文中宋" w:cs="华文中宋"/>
          <w:b/>
          <w:bCs/>
          <w:color w:val="auto"/>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leftChars="0"/>
        <w:jc w:val="both"/>
        <w:textAlignment w:val="auto"/>
        <w:rPr>
          <w:rFonts w:hint="eastAsia" w:ascii="华文中宋" w:hAnsi="华文中宋" w:eastAsia="华文中宋" w:cs="华文中宋"/>
          <w:b/>
          <w:bCs/>
          <w:color w:val="auto"/>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outlineLvl w:val="0"/>
        <w:rPr>
          <w:rFonts w:hint="eastAsia" w:ascii="华文中宋" w:hAnsi="华文中宋" w:eastAsia="华文中宋" w:cs="华文中宋"/>
          <w:b/>
          <w:bCs/>
          <w:color w:val="auto"/>
          <w:sz w:val="44"/>
          <w:szCs w:val="44"/>
          <w:highlight w:val="none"/>
          <w:lang w:val="en-US" w:eastAsia="zh-CN"/>
        </w:rPr>
      </w:pPr>
      <w:r>
        <w:rPr>
          <w:rFonts w:hint="eastAsia" w:ascii="华文中宋" w:hAnsi="华文中宋" w:eastAsia="华文中宋" w:cs="华文中宋"/>
          <w:b/>
          <w:bCs/>
          <w:color w:val="auto"/>
          <w:sz w:val="44"/>
          <w:szCs w:val="44"/>
          <w:highlight w:val="none"/>
          <w:lang w:val="en-US" w:eastAsia="zh-CN"/>
        </w:rPr>
        <w:t>江西开放大学</w:t>
      </w:r>
    </w:p>
    <w:p>
      <w:pPr>
        <w:keepNext w:val="0"/>
        <w:keepLines w:val="0"/>
        <w:pageBreakBefore w:val="0"/>
        <w:widowControl w:val="0"/>
        <w:kinsoku/>
        <w:wordWrap/>
        <w:overflowPunct/>
        <w:topLinePunct w:val="0"/>
        <w:autoSpaceDE/>
        <w:autoSpaceDN/>
        <w:bidi w:val="0"/>
        <w:adjustRightInd/>
        <w:snapToGrid/>
        <w:spacing w:line="576" w:lineRule="exact"/>
        <w:ind w:leftChars="0"/>
        <w:jc w:val="center"/>
        <w:textAlignment w:val="auto"/>
        <w:outlineLvl w:val="0"/>
        <w:rPr>
          <w:rFonts w:hint="eastAsia" w:ascii="华文中宋" w:hAnsi="华文中宋" w:eastAsia="华文中宋" w:cs="华文中宋"/>
          <w:b/>
          <w:bCs/>
          <w:color w:val="auto"/>
          <w:sz w:val="44"/>
          <w:szCs w:val="44"/>
          <w:highlight w:val="none"/>
          <w:lang w:val="en-US" w:eastAsia="zh-CN"/>
        </w:rPr>
      </w:pPr>
      <w:r>
        <w:rPr>
          <w:rFonts w:hint="eastAsia" w:ascii="华文中宋" w:hAnsi="华文中宋" w:eastAsia="华文中宋" w:cs="华文中宋"/>
          <w:b/>
          <w:bCs/>
          <w:color w:val="auto"/>
          <w:sz w:val="44"/>
          <w:szCs w:val="44"/>
          <w:highlight w:val="none"/>
          <w:lang w:val="en-US" w:eastAsia="zh-CN"/>
        </w:rPr>
        <w:t>萍乡市分校2020年度发展报告</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jc w:val="left"/>
        <w:textAlignment w:val="auto"/>
        <w:rPr>
          <w:rFonts w:hint="eastAsia" w:ascii="黑体" w:hAnsi="黑体" w:eastAsia="黑体" w:cs="黑体"/>
          <w:color w:val="auto"/>
          <w:sz w:val="32"/>
          <w:szCs w:val="32"/>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Chars="0" w:firstLine="640" w:firstLineChars="200"/>
        <w:jc w:val="both"/>
        <w:textAlignment w:val="auto"/>
        <w:outlineLvl w:val="0"/>
        <w:rPr>
          <w:rFonts w:hint="eastAsia" w:ascii="黑体" w:hAnsi="黑体" w:eastAsia="黑体" w:cs="黑体"/>
          <w:color w:val="auto"/>
          <w:sz w:val="32"/>
          <w:szCs w:val="32"/>
          <w:highlight w:val="none"/>
          <w:lang w:val="en-US" w:eastAsia="zh-CN"/>
        </w:rPr>
      </w:pPr>
      <w:bookmarkStart w:id="0" w:name="_Toc40173461"/>
      <w:r>
        <w:rPr>
          <w:rFonts w:hint="eastAsia" w:ascii="黑体" w:hAnsi="黑体" w:eastAsia="黑体" w:cs="黑体"/>
          <w:b w:val="0"/>
          <w:bCs w:val="0"/>
          <w:color w:val="auto"/>
          <w:kern w:val="2"/>
          <w:sz w:val="32"/>
          <w:szCs w:val="32"/>
          <w:highlight w:val="none"/>
          <w:lang w:val="en-US" w:eastAsia="zh-CN" w:bidi="ar-SA"/>
        </w:rPr>
        <w:t>省校重点工作推进情况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textAlignment w:val="auto"/>
        <w:rPr>
          <w:rFonts w:hint="eastAsia" w:ascii="仿宋" w:hAnsi="仿宋" w:eastAsia="仿宋" w:cs="仿宋"/>
          <w:color w:val="auto"/>
          <w:kern w:val="0"/>
          <w:sz w:val="32"/>
          <w:szCs w:val="32"/>
          <w:highlight w:val="none"/>
        </w:rPr>
      </w:pPr>
      <w:r>
        <w:rPr>
          <w:rFonts w:hint="eastAsia" w:ascii="仿宋" w:hAnsi="仿宋" w:eastAsia="仿宋" w:cs="仿宋"/>
          <w:b w:val="0"/>
          <w:bCs w:val="0"/>
          <w:color w:val="auto"/>
          <w:kern w:val="2"/>
          <w:sz w:val="32"/>
          <w:szCs w:val="32"/>
          <w:highlight w:val="none"/>
          <w:lang w:val="en-US" w:eastAsia="zh-CN" w:bidi="ar-SA"/>
        </w:rPr>
        <w:t xml:space="preserve">    </w:t>
      </w:r>
      <w:r>
        <w:rPr>
          <w:rFonts w:hint="eastAsia" w:ascii="仿宋" w:hAnsi="仿宋" w:eastAsia="仿宋" w:cs="仿宋"/>
          <w:b w:val="0"/>
          <w:bCs w:val="0"/>
          <w:strike w:val="0"/>
          <w:dstrike w:val="0"/>
          <w:color w:val="auto"/>
          <w:kern w:val="2"/>
          <w:sz w:val="32"/>
          <w:szCs w:val="32"/>
          <w:highlight w:val="none"/>
          <w:lang w:val="en-US" w:eastAsia="zh-CN" w:bidi="ar-SA"/>
        </w:rPr>
        <w:t>2020年萍乡市分校围绕省校重点工作，着力推进六大工作：一是稳步推进以开放教育为代表的学历教育中心，积极建设以高职教育为代表的职业技能培训基地，重点打造以师德培训为代表的终身教育示范学校</w:t>
      </w:r>
      <w:r>
        <w:rPr>
          <w:rFonts w:hint="eastAsia" w:ascii="仿宋" w:hAnsi="仿宋" w:eastAsia="仿宋" w:cs="仿宋"/>
          <w:b w:val="0"/>
          <w:bCs w:val="0"/>
          <w:color w:val="auto"/>
          <w:kern w:val="2"/>
          <w:sz w:val="32"/>
          <w:szCs w:val="32"/>
          <w:highlight w:val="none"/>
          <w:lang w:val="en-US" w:eastAsia="zh-CN" w:bidi="ar-SA"/>
        </w:rPr>
        <w:t>；二是实施教育教学质量创优提质战略，开展“导师制”教学服务、直播课堂教学，推进教学过程落实；三是实施好高职扩招社会人员项目，精心做好新生入学准备及教学、管理工作；四是开拓非学历继续教育，开设讲座，举办培训；五是共建省校思政课程资源，依托龚全珍师德教育学院实施“师德课程进校园”工程；六是合作开办中职学校，实践“职继融合”精神，为学校转型升级奠定坚实基础。</w:t>
      </w: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0" w:leftChars="0" w:firstLine="640" w:firstLineChars="200"/>
        <w:jc w:val="both"/>
        <w:textAlignment w:val="auto"/>
        <w:outlineLvl w:val="0"/>
        <w:rPr>
          <w:rFonts w:hint="eastAsia" w:ascii="黑体" w:hAnsi="黑体" w:eastAsia="黑体" w:cs="黑体"/>
          <w:color w:val="auto"/>
          <w:kern w:val="0"/>
          <w:sz w:val="32"/>
          <w:szCs w:val="32"/>
          <w:highlight w:val="none"/>
          <w:lang w:val="en-US" w:eastAsia="zh-CN"/>
        </w:rPr>
      </w:pPr>
      <w:r>
        <w:rPr>
          <w:rFonts w:hint="eastAsia" w:ascii="黑体" w:hAnsi="黑体" w:eastAsia="黑体" w:cs="黑体"/>
          <w:b w:val="0"/>
          <w:bCs w:val="0"/>
          <w:color w:val="auto"/>
          <w:kern w:val="2"/>
          <w:sz w:val="32"/>
          <w:szCs w:val="32"/>
          <w:highlight w:val="none"/>
          <w:lang w:val="en-US" w:eastAsia="zh-CN" w:bidi="ar-SA"/>
        </w:rPr>
        <w:t>人才培养</w:t>
      </w:r>
      <w:bookmarkEnd w:id="0"/>
      <w:r>
        <w:rPr>
          <w:rFonts w:hint="eastAsia" w:ascii="黑体" w:hAnsi="黑体" w:eastAsia="黑体" w:cs="黑体"/>
          <w:color w:val="auto"/>
          <w:kern w:val="0"/>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一</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学历教育</w:t>
      </w:r>
      <w:r>
        <w:rPr>
          <w:rFonts w:hint="eastAsia" w:ascii="楷体" w:hAnsi="楷体" w:eastAsia="楷体" w:cs="楷体"/>
          <w:b w:val="0"/>
          <w:bCs w:val="0"/>
          <w:color w:val="auto"/>
          <w:sz w:val="32"/>
          <w:szCs w:val="32"/>
          <w:highlight w:val="none"/>
          <w:lang w:val="en-US" w:eastAsia="zh-CN"/>
        </w:rPr>
        <w:t>整体培养</w:t>
      </w:r>
      <w:r>
        <w:rPr>
          <w:rFonts w:hint="eastAsia" w:ascii="楷体" w:hAnsi="楷体" w:eastAsia="楷体" w:cs="楷体"/>
          <w:b w:val="0"/>
          <w:bCs w:val="0"/>
          <w:color w:val="auto"/>
          <w:sz w:val="32"/>
          <w:szCs w:val="32"/>
          <w:highlight w:val="none"/>
          <w:lang w:eastAsia="zh-CN"/>
        </w:rPr>
        <w:t>情况</w:t>
      </w:r>
    </w:p>
    <w:p>
      <w:pPr>
        <w:pStyle w:val="2"/>
        <w:keepNext w:val="0"/>
        <w:keepLines w:val="0"/>
        <w:pageBreakBefore w:val="0"/>
        <w:widowControl w:val="0"/>
        <w:numPr>
          <w:ilvl w:val="0"/>
          <w:numId w:val="0"/>
        </w:numPr>
        <w:kinsoku/>
        <w:wordWrap/>
        <w:overflowPunct/>
        <w:topLinePunct w:val="0"/>
        <w:autoSpaceDE/>
        <w:autoSpaceDN/>
        <w:bidi w:val="0"/>
        <w:spacing w:after="0" w:line="576" w:lineRule="exact"/>
        <w:ind w:leftChars="0" w:firstLine="640" w:firstLineChars="2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2020年各类在籍（校）生12860人，同比增加9.18 %；共培养各类毕业生共2884人，同比减少1.23%。</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40" w:firstLineChars="200"/>
        <w:jc w:val="both"/>
        <w:textAlignment w:val="auto"/>
        <w:outlineLvl w:val="2"/>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highlight w:val="none"/>
          <w:lang w:val="en-US" w:eastAsia="zh-CN"/>
        </w:rPr>
        <w:t>1.高等学历继续教育</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2020年共有开放教育在籍生</w:t>
      </w:r>
      <w:r>
        <w:rPr>
          <w:rFonts w:hint="eastAsia" w:ascii="仿宋" w:hAnsi="仿宋" w:eastAsia="仿宋" w:cs="仿宋"/>
          <w:color w:val="auto"/>
          <w:sz w:val="32"/>
          <w:szCs w:val="32"/>
          <w:highlight w:val="none"/>
          <w:u w:val="none"/>
          <w:lang w:val="en-US" w:eastAsia="zh-CN"/>
        </w:rPr>
        <w:t>12102</w:t>
      </w:r>
      <w:r>
        <w:rPr>
          <w:rFonts w:hint="eastAsia" w:ascii="仿宋" w:hAnsi="仿宋" w:eastAsia="仿宋" w:cs="仿宋"/>
          <w:color w:val="auto"/>
          <w:sz w:val="32"/>
          <w:szCs w:val="32"/>
          <w:highlight w:val="none"/>
          <w:lang w:val="en-US" w:eastAsia="zh-CN"/>
        </w:rPr>
        <w:t>人，同比</w:t>
      </w:r>
      <w:r>
        <w:rPr>
          <w:rFonts w:hint="eastAsia" w:ascii="仿宋" w:hAnsi="仿宋" w:eastAsia="仿宋" w:cs="仿宋"/>
          <w:color w:val="auto"/>
          <w:sz w:val="32"/>
          <w:szCs w:val="32"/>
          <w:highlight w:val="none"/>
          <w:u w:val="none"/>
          <w:lang w:val="en-US" w:eastAsia="zh-CN"/>
        </w:rPr>
        <w:t>增加6.13%。其中，本科2018人，占比16.67</w:t>
      </w:r>
      <w:r>
        <w:rPr>
          <w:rStyle w:val="8"/>
          <w:rFonts w:ascii="仿宋" w:hAnsi="仿宋" w:eastAsia="仿宋"/>
          <w:color w:val="auto"/>
          <w:sz w:val="28"/>
          <w:szCs w:val="28"/>
          <w:highlight w:val="none"/>
          <w:u w:val="none"/>
          <w:shd w:val="clear" w:color="auto" w:fill="FFFFFF"/>
        </w:rPr>
        <w:t>%</w:t>
      </w:r>
      <w:r>
        <w:rPr>
          <w:rStyle w:val="8"/>
          <w:rFonts w:hint="eastAsia" w:ascii="仿宋" w:hAnsi="仿宋" w:eastAsia="仿宋"/>
          <w:color w:val="auto"/>
          <w:sz w:val="28"/>
          <w:szCs w:val="28"/>
          <w:highlight w:val="none"/>
          <w:u w:val="none"/>
          <w:shd w:val="clear" w:color="auto" w:fill="FFFFFF"/>
          <w:lang w:eastAsia="zh-CN"/>
        </w:rPr>
        <w:t>；</w:t>
      </w:r>
      <w:r>
        <w:rPr>
          <w:rFonts w:hint="eastAsia" w:ascii="仿宋" w:hAnsi="仿宋" w:eastAsia="仿宋" w:cs="仿宋"/>
          <w:color w:val="auto"/>
          <w:sz w:val="32"/>
          <w:szCs w:val="32"/>
          <w:highlight w:val="none"/>
          <w:u w:val="none"/>
          <w:lang w:val="en-US" w:eastAsia="zh-CN"/>
        </w:rPr>
        <w:t>专科10084人，占比83.33</w:t>
      </w:r>
      <w:r>
        <w:rPr>
          <w:rStyle w:val="8"/>
          <w:rFonts w:ascii="仿宋" w:hAnsi="仿宋" w:eastAsia="仿宋"/>
          <w:color w:val="auto"/>
          <w:sz w:val="28"/>
          <w:szCs w:val="28"/>
          <w:highlight w:val="none"/>
          <w:u w:val="none"/>
          <w:shd w:val="clear" w:color="auto" w:fill="FFFFFF"/>
        </w:rPr>
        <w:t>%</w:t>
      </w:r>
      <w:r>
        <w:rPr>
          <w:rFonts w:hint="eastAsia" w:ascii="仿宋" w:hAnsi="仿宋" w:eastAsia="仿宋" w:cs="仿宋"/>
          <w:color w:val="auto"/>
          <w:sz w:val="32"/>
          <w:szCs w:val="32"/>
          <w:highlight w:val="none"/>
          <w:u w:val="none"/>
          <w:lang w:val="en-US" w:eastAsia="zh-CN"/>
        </w:rPr>
        <w:t>。2020年共培养开放教育毕业生2884人。其中，本科472人，占比16.37%；专科2412人，占比83.63%。学校未开展成人高等教育专科教育。</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40" w:firstLineChars="200"/>
        <w:jc w:val="both"/>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2.高等职业教育（扩招）</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both"/>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2020年共有高等职业教育（扩招）在校生758人（含2020年招录人数），同比增加50.40%。</w:t>
      </w:r>
    </w:p>
    <w:p>
      <w:pPr>
        <w:pageBreakBefore w:val="0"/>
        <w:widowControl/>
        <w:kinsoku/>
        <w:wordWrap/>
        <w:overflowPunct/>
        <w:topLinePunct w:val="0"/>
        <w:autoSpaceDE/>
        <w:autoSpaceDN/>
        <w:bidi w:val="0"/>
        <w:adjustRightInd w:val="0"/>
        <w:snapToGrid w:val="0"/>
        <w:spacing w:line="600" w:lineRule="exact"/>
        <w:ind w:leftChars="0"/>
        <w:jc w:val="center"/>
        <w:textAlignment w:val="center"/>
        <w:rPr>
          <w:rFonts w:hint="default"/>
          <w:color w:val="auto"/>
          <w:highlight w:val="none"/>
          <w:lang w:val="en-US" w:eastAsia="zh-CN"/>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en-US" w:eastAsia="zh-CN"/>
        </w:rPr>
        <w:t>2020年度学历教育</w:t>
      </w:r>
      <w:r>
        <w:rPr>
          <w:rFonts w:hint="eastAsia" w:ascii="仿宋" w:hAnsi="仿宋" w:eastAsia="仿宋" w:cs="仿宋"/>
          <w:color w:val="auto"/>
          <w:kern w:val="0"/>
          <w:sz w:val="28"/>
          <w:szCs w:val="28"/>
          <w:highlight w:val="none"/>
          <w:lang w:eastAsia="zh-CN"/>
        </w:rPr>
        <w:t>在籍（校）生</w:t>
      </w:r>
      <w:r>
        <w:rPr>
          <w:rFonts w:hint="eastAsia" w:ascii="仿宋" w:hAnsi="仿宋" w:eastAsia="仿宋" w:cs="仿宋"/>
          <w:color w:val="auto"/>
          <w:kern w:val="0"/>
          <w:sz w:val="28"/>
          <w:szCs w:val="28"/>
          <w:highlight w:val="none"/>
        </w:rPr>
        <w:t>人数</w:t>
      </w:r>
    </w:p>
    <w:tbl>
      <w:tblPr>
        <w:tblStyle w:val="6"/>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397"/>
        <w:gridCol w:w="1850"/>
        <w:gridCol w:w="1967"/>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exact"/>
        </w:trPr>
        <w:tc>
          <w:tcPr>
            <w:tcW w:w="122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层次</w:t>
            </w:r>
          </w:p>
        </w:tc>
        <w:tc>
          <w:tcPr>
            <w:tcW w:w="139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类型</w:t>
            </w:r>
          </w:p>
        </w:tc>
        <w:tc>
          <w:tcPr>
            <w:tcW w:w="185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在籍（校）生人数</w:t>
            </w:r>
          </w:p>
        </w:tc>
        <w:tc>
          <w:tcPr>
            <w:tcW w:w="196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本年度</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招生人数</w:t>
            </w:r>
          </w:p>
        </w:tc>
        <w:tc>
          <w:tcPr>
            <w:tcW w:w="228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本年度</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2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本科</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开放本科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2018</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rPr>
            </w:pPr>
            <w:r>
              <w:rPr>
                <w:rFonts w:hint="eastAsia" w:ascii="仿宋" w:hAnsi="仿宋" w:eastAsia="仿宋" w:cs="仿宋"/>
                <w:color w:val="auto"/>
                <w:kern w:val="0"/>
                <w:sz w:val="28"/>
                <w:szCs w:val="28"/>
                <w:highlight w:val="none"/>
                <w:vertAlign w:val="baseline"/>
              </w:rPr>
              <w:t>818</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27" w:type="dxa"/>
            <w:vMerge w:val="restart"/>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专科</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开放专科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10084</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rPr>
            </w:pPr>
            <w:r>
              <w:rPr>
                <w:rFonts w:hint="eastAsia" w:ascii="仿宋" w:hAnsi="仿宋" w:eastAsia="仿宋" w:cs="仿宋"/>
                <w:color w:val="auto"/>
                <w:kern w:val="0"/>
                <w:sz w:val="28"/>
                <w:szCs w:val="28"/>
                <w:highlight w:val="none"/>
                <w:vertAlign w:val="baseline"/>
              </w:rPr>
              <w:t>2826</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rPr>
            </w:pPr>
            <w:r>
              <w:rPr>
                <w:rFonts w:hint="eastAsia" w:ascii="仿宋" w:hAnsi="仿宋" w:eastAsia="仿宋" w:cs="仿宋"/>
                <w:color w:val="auto"/>
                <w:kern w:val="0"/>
                <w:sz w:val="28"/>
                <w:szCs w:val="28"/>
                <w:highlight w:val="none"/>
                <w:vertAlign w:val="baseline"/>
                <w:lang w:val="en-US" w:eastAsia="zh-CN"/>
              </w:rPr>
              <w:t>2412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27"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rPr>
            </w:pP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成人专科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27"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高职扩招</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758</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rPr>
            </w:pPr>
            <w:r>
              <w:rPr>
                <w:rFonts w:hint="eastAsia" w:ascii="仿宋" w:hAnsi="仿宋" w:eastAsia="仿宋" w:cs="仿宋"/>
                <w:color w:val="auto"/>
                <w:kern w:val="0"/>
                <w:sz w:val="28"/>
                <w:szCs w:val="28"/>
                <w:highlight w:val="none"/>
                <w:vertAlign w:val="baseline"/>
                <w:lang w:val="en-US" w:eastAsia="zh-CN"/>
              </w:rPr>
              <w:t>382</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2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中专</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成人中专</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624" w:type="dxa"/>
            <w:gridSpan w:val="2"/>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合计</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12860</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4026</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2884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624" w:type="dxa"/>
            <w:gridSpan w:val="2"/>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全省排名</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5</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5</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vertAlign w:val="baseline"/>
                <w:lang w:val="en-US" w:eastAsia="zh-CN"/>
              </w:rPr>
            </w:pPr>
            <w:r>
              <w:rPr>
                <w:rFonts w:hint="eastAsia" w:ascii="仿宋" w:hAnsi="仿宋" w:eastAsia="仿宋" w:cs="仿宋"/>
                <w:color w:val="auto"/>
                <w:kern w:val="0"/>
                <w:sz w:val="28"/>
                <w:szCs w:val="28"/>
                <w:highlight w:val="none"/>
                <w:vertAlign w:val="baseline"/>
                <w:lang w:val="en-US" w:eastAsia="zh-CN"/>
              </w:rPr>
              <w:t>6</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非学历教育</w:t>
      </w:r>
      <w:r>
        <w:rPr>
          <w:rFonts w:hint="eastAsia" w:ascii="楷体" w:hAnsi="楷体" w:eastAsia="楷体" w:cs="楷体"/>
          <w:b w:val="0"/>
          <w:bCs w:val="0"/>
          <w:color w:val="auto"/>
          <w:sz w:val="32"/>
          <w:szCs w:val="32"/>
          <w:highlight w:val="none"/>
          <w:lang w:val="en-US" w:eastAsia="zh-CN"/>
        </w:rPr>
        <w:t>整体培养</w:t>
      </w:r>
      <w:r>
        <w:rPr>
          <w:rFonts w:hint="eastAsia" w:ascii="楷体" w:hAnsi="楷体" w:eastAsia="楷体" w:cs="楷体"/>
          <w:b w:val="0"/>
          <w:bCs w:val="0"/>
          <w:color w:val="auto"/>
          <w:sz w:val="32"/>
          <w:szCs w:val="32"/>
          <w:highlight w:val="none"/>
          <w:lang w:eastAsia="zh-CN"/>
        </w:rPr>
        <w:t>情况</w:t>
      </w:r>
    </w:p>
    <w:p>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eastAsia" w:ascii="仿宋" w:hAnsi="仿宋" w:eastAsia="仿宋" w:cs="仿宋"/>
          <w:color w:val="auto"/>
          <w:kern w:val="0"/>
          <w:sz w:val="28"/>
          <w:szCs w:val="28"/>
          <w:highlight w:val="none"/>
        </w:rPr>
      </w:pPr>
      <w:r>
        <w:rPr>
          <w:rFonts w:hint="eastAsia" w:ascii="仿宋" w:hAnsi="仿宋" w:eastAsia="仿宋" w:cs="仿宋"/>
          <w:b w:val="0"/>
          <w:bCs w:val="0"/>
          <w:color w:val="auto"/>
          <w:kern w:val="2"/>
          <w:sz w:val="32"/>
          <w:szCs w:val="32"/>
          <w:highlight w:val="none"/>
          <w:lang w:val="en-US" w:eastAsia="zh-CN" w:bidi="ar-SA"/>
        </w:rPr>
        <w:t>2020年</w:t>
      </w:r>
      <w:r>
        <w:rPr>
          <w:rFonts w:hint="default" w:ascii="仿宋" w:hAnsi="仿宋" w:eastAsia="仿宋" w:cs="仿宋"/>
          <w:color w:val="auto"/>
          <w:sz w:val="32"/>
          <w:szCs w:val="32"/>
          <w:highlight w:val="none"/>
          <w:lang w:val="en-US" w:eastAsia="zh-CN"/>
        </w:rPr>
        <w:t>非学历继续教育项目</w:t>
      </w:r>
      <w:r>
        <w:rPr>
          <w:rFonts w:hint="eastAsia" w:ascii="仿宋" w:hAnsi="仿宋" w:eastAsia="仿宋" w:cs="仿宋"/>
          <w:color w:val="auto"/>
          <w:sz w:val="32"/>
          <w:szCs w:val="32"/>
          <w:highlight w:val="none"/>
          <w:lang w:val="en-US" w:eastAsia="zh-CN"/>
        </w:rPr>
        <w:t>8</w:t>
      </w:r>
      <w:r>
        <w:rPr>
          <w:rFonts w:hint="default" w:ascii="仿宋" w:hAnsi="仿宋" w:eastAsia="仿宋" w:cs="仿宋"/>
          <w:color w:val="auto"/>
          <w:sz w:val="32"/>
          <w:szCs w:val="32"/>
          <w:highlight w:val="none"/>
          <w:lang w:val="en-US" w:eastAsia="zh-CN"/>
        </w:rPr>
        <w:t>个，开设培训班</w:t>
      </w:r>
      <w:r>
        <w:rPr>
          <w:rFonts w:hint="eastAsia" w:ascii="仿宋" w:hAnsi="仿宋" w:eastAsia="仿宋" w:cs="仿宋"/>
          <w:color w:val="auto"/>
          <w:sz w:val="32"/>
          <w:szCs w:val="32"/>
          <w:highlight w:val="none"/>
          <w:lang w:val="en-US" w:eastAsia="zh-CN"/>
        </w:rPr>
        <w:t>58</w:t>
      </w:r>
      <w:r>
        <w:rPr>
          <w:rFonts w:hint="default" w:ascii="仿宋" w:hAnsi="仿宋" w:eastAsia="仿宋" w:cs="仿宋"/>
          <w:color w:val="auto"/>
          <w:sz w:val="32"/>
          <w:szCs w:val="32"/>
          <w:highlight w:val="none"/>
          <w:lang w:val="en-US" w:eastAsia="zh-CN"/>
        </w:rPr>
        <w:t>个</w:t>
      </w:r>
      <w:r>
        <w:rPr>
          <w:rFonts w:hint="eastAsia" w:ascii="仿宋" w:hAnsi="仿宋" w:eastAsia="仿宋" w:cs="仿宋"/>
          <w:color w:val="auto"/>
          <w:sz w:val="32"/>
          <w:szCs w:val="32"/>
          <w:highlight w:val="none"/>
          <w:lang w:val="en-US" w:eastAsia="zh-CN"/>
        </w:rPr>
        <w:t>班次</w:t>
      </w:r>
      <w:r>
        <w:rPr>
          <w:rFonts w:hint="default" w:ascii="仿宋" w:hAnsi="仿宋" w:eastAsia="仿宋" w:cs="仿宋"/>
          <w:color w:val="auto"/>
          <w:sz w:val="32"/>
          <w:szCs w:val="32"/>
          <w:highlight w:val="none"/>
          <w:lang w:val="en-US" w:eastAsia="zh-CN"/>
        </w:rPr>
        <w:t>，培训规模</w:t>
      </w:r>
      <w:r>
        <w:rPr>
          <w:rFonts w:hint="eastAsia" w:ascii="仿宋" w:hAnsi="仿宋" w:eastAsia="仿宋" w:cs="仿宋"/>
          <w:color w:val="auto"/>
          <w:sz w:val="32"/>
          <w:szCs w:val="32"/>
          <w:highlight w:val="none"/>
          <w:lang w:val="en-US" w:eastAsia="zh-CN"/>
        </w:rPr>
        <w:t>4484</w:t>
      </w:r>
      <w:r>
        <w:rPr>
          <w:rFonts w:hint="default" w:ascii="仿宋" w:hAnsi="仿宋" w:eastAsia="仿宋" w:cs="仿宋"/>
          <w:color w:val="auto"/>
          <w:sz w:val="32"/>
          <w:szCs w:val="32"/>
          <w:highlight w:val="none"/>
          <w:lang w:val="en-US" w:eastAsia="zh-CN"/>
        </w:rPr>
        <w:t>人次</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kern w:val="0"/>
          <w:sz w:val="32"/>
          <w:szCs w:val="32"/>
          <w:highlight w:val="none"/>
          <w:lang w:val="en-US" w:eastAsia="zh-CN" w:bidi="ar"/>
        </w:rPr>
        <w:t>同比增长</w:t>
      </w:r>
      <w:r>
        <w:rPr>
          <w:rFonts w:hint="eastAsia" w:ascii="仿宋" w:hAnsi="仿宋" w:eastAsia="仿宋" w:cs="仿宋"/>
          <w:color w:val="auto"/>
          <w:sz w:val="32"/>
          <w:szCs w:val="32"/>
          <w:highlight w:val="none"/>
          <w:u w:val="none"/>
          <w:lang w:val="en-US" w:eastAsia="zh-CN"/>
        </w:rPr>
        <w:t>124.2</w:t>
      </w:r>
      <w:r>
        <w:rPr>
          <w:rFonts w:ascii="仿宋" w:hAnsi="仿宋" w:eastAsia="仿宋" w:cs="仿宋"/>
          <w:color w:val="auto"/>
          <w:kern w:val="0"/>
          <w:sz w:val="32"/>
          <w:szCs w:val="32"/>
          <w:highlight w:val="none"/>
          <w:u w:val="none"/>
          <w:lang w:val="en-US" w:eastAsia="zh-CN" w:bidi="ar"/>
        </w:rPr>
        <w:t>%</w:t>
      </w:r>
      <w:r>
        <w:rPr>
          <w:rFonts w:hint="default" w:ascii="仿宋" w:hAnsi="仿宋" w:eastAsia="仿宋" w:cs="仿宋"/>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2 2020年度非学历教育情况</w:t>
      </w:r>
    </w:p>
    <w:tbl>
      <w:tblPr>
        <w:tblStyle w:val="5"/>
        <w:tblW w:w="8580" w:type="dxa"/>
        <w:jc w:val="center"/>
        <w:shd w:val="clear" w:color="auto" w:fill="auto"/>
        <w:tblLayout w:type="fixed"/>
        <w:tblCellMar>
          <w:top w:w="0" w:type="dxa"/>
          <w:left w:w="108" w:type="dxa"/>
          <w:bottom w:w="0" w:type="dxa"/>
          <w:right w:w="108" w:type="dxa"/>
        </w:tblCellMar>
      </w:tblPr>
      <w:tblGrid>
        <w:gridCol w:w="752"/>
        <w:gridCol w:w="1379"/>
        <w:gridCol w:w="4689"/>
        <w:gridCol w:w="859"/>
        <w:gridCol w:w="901"/>
      </w:tblGrid>
      <w:tr>
        <w:tblPrEx>
          <w:shd w:val="clear" w:color="auto" w:fill="auto"/>
          <w:tblCellMar>
            <w:top w:w="0" w:type="dxa"/>
            <w:left w:w="108" w:type="dxa"/>
            <w:bottom w:w="0" w:type="dxa"/>
            <w:right w:w="108" w:type="dxa"/>
          </w:tblCellMar>
        </w:tblPrEx>
        <w:trPr>
          <w:trHeight w:val="486"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序号</w:t>
            </w:r>
          </w:p>
        </w:tc>
        <w:tc>
          <w:tcPr>
            <w:tcW w:w="137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行业</w:t>
            </w:r>
          </w:p>
        </w:tc>
        <w:tc>
          <w:tcPr>
            <w:tcW w:w="468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培训对象</w:t>
            </w:r>
          </w:p>
        </w:tc>
        <w:tc>
          <w:tcPr>
            <w:tcW w:w="85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班次</w:t>
            </w:r>
          </w:p>
        </w:tc>
        <w:tc>
          <w:tcPr>
            <w:tcW w:w="90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人次</w:t>
            </w:r>
          </w:p>
        </w:tc>
      </w:tr>
      <w:tr>
        <w:tblPrEx>
          <w:tblCellMar>
            <w:top w:w="0" w:type="dxa"/>
            <w:left w:w="108" w:type="dxa"/>
            <w:bottom w:w="0" w:type="dxa"/>
            <w:right w:w="108" w:type="dxa"/>
          </w:tblCellMar>
        </w:tblPrEx>
        <w:trPr>
          <w:trHeight w:val="660"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社区公益</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转移劳动力（保育员、育婴员、</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养老护理、计算机）</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16</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405</w:t>
            </w:r>
          </w:p>
        </w:tc>
      </w:tr>
      <w:tr>
        <w:tblPrEx>
          <w:tblCellMar>
            <w:top w:w="0" w:type="dxa"/>
            <w:left w:w="108" w:type="dxa"/>
            <w:bottom w:w="0" w:type="dxa"/>
            <w:right w:w="108" w:type="dxa"/>
          </w:tblCellMar>
        </w:tblPrEx>
        <w:trPr>
          <w:trHeight w:val="567"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val="en-US" w:eastAsia="zh-CN"/>
              </w:rPr>
              <w:t>2</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事业单位</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教师、学生、旅游咨询师</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7</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1136</w:t>
            </w:r>
          </w:p>
        </w:tc>
      </w:tr>
      <w:tr>
        <w:tblPrEx>
          <w:tblCellMar>
            <w:top w:w="0" w:type="dxa"/>
            <w:left w:w="108" w:type="dxa"/>
            <w:bottom w:w="0" w:type="dxa"/>
            <w:right w:w="108" w:type="dxa"/>
          </w:tblCellMar>
        </w:tblPrEx>
        <w:trPr>
          <w:trHeight w:val="567"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val="en-US" w:eastAsia="zh-CN"/>
              </w:rPr>
              <w:t>3</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教育</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保安、学生、学前教育、中小学、</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高校教师</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26</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2401</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产业</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快递小哥</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176</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5</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val="en-US" w:eastAsia="zh-CN"/>
              </w:rPr>
              <w:t>农业</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高素质农民</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328</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6</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其他</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事业单位招聘人员考前培训</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38</w:t>
            </w:r>
          </w:p>
        </w:tc>
      </w:tr>
      <w:tr>
        <w:tblPrEx>
          <w:tblCellMar>
            <w:top w:w="0" w:type="dxa"/>
            <w:left w:w="108" w:type="dxa"/>
            <w:bottom w:w="0" w:type="dxa"/>
            <w:right w:w="108" w:type="dxa"/>
          </w:tblCellMar>
        </w:tblPrEx>
        <w:trPr>
          <w:trHeight w:val="454" w:hRule="exact"/>
          <w:jc w:val="center"/>
        </w:trPr>
        <w:tc>
          <w:tcPr>
            <w:tcW w:w="6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合计</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58</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4484</w:t>
            </w:r>
          </w:p>
        </w:tc>
      </w:tr>
      <w:tr>
        <w:tblPrEx>
          <w:tblCellMar>
            <w:top w:w="0" w:type="dxa"/>
            <w:left w:w="108" w:type="dxa"/>
            <w:bottom w:w="0" w:type="dxa"/>
            <w:right w:w="108" w:type="dxa"/>
          </w:tblCellMar>
        </w:tblPrEx>
        <w:trPr>
          <w:trHeight w:val="454" w:hRule="exact"/>
          <w:jc w:val="center"/>
        </w:trPr>
        <w:tc>
          <w:tcPr>
            <w:tcW w:w="6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全省排名</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5</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三）学校</w:t>
      </w:r>
      <w:r>
        <w:rPr>
          <w:rFonts w:hint="eastAsia" w:ascii="楷体" w:hAnsi="楷体" w:eastAsia="楷体" w:cs="楷体"/>
          <w:b w:val="0"/>
          <w:bCs w:val="0"/>
          <w:color w:val="auto"/>
          <w:sz w:val="32"/>
          <w:szCs w:val="32"/>
          <w:highlight w:val="none"/>
          <w:lang w:eastAsia="zh-CN"/>
        </w:rPr>
        <w:t>专业设置情况</w:t>
      </w:r>
    </w:p>
    <w:p>
      <w:pPr>
        <w:keepNext w:val="0"/>
        <w:keepLines w:val="0"/>
        <w:pageBreakBefore w:val="0"/>
        <w:widowControl w:val="0"/>
        <w:kinsoku/>
        <w:wordWrap/>
        <w:overflowPunct/>
        <w:topLinePunct w:val="0"/>
        <w:autoSpaceDE/>
        <w:autoSpaceDN/>
        <w:bidi w:val="0"/>
        <w:spacing w:line="576" w:lineRule="exact"/>
        <w:ind w:firstLine="640" w:firstLineChars="200"/>
        <w:jc w:val="both"/>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2020年招收开放教育</w:t>
      </w:r>
      <w:r>
        <w:rPr>
          <w:rFonts w:hint="default" w:ascii="仿宋" w:hAnsi="仿宋" w:eastAsia="仿宋" w:cs="仿宋"/>
          <w:color w:val="auto"/>
          <w:sz w:val="32"/>
          <w:szCs w:val="32"/>
          <w:highlight w:val="none"/>
          <w:u w:val="none"/>
          <w:lang w:val="en-US" w:eastAsia="zh-CN"/>
        </w:rPr>
        <w:t>本</w:t>
      </w:r>
      <w:r>
        <w:rPr>
          <w:rFonts w:hint="eastAsia" w:ascii="仿宋" w:hAnsi="仿宋" w:eastAsia="仿宋" w:cs="仿宋"/>
          <w:color w:val="auto"/>
          <w:sz w:val="32"/>
          <w:szCs w:val="32"/>
          <w:highlight w:val="none"/>
          <w:u w:val="none"/>
          <w:lang w:val="en-US" w:eastAsia="zh-CN"/>
        </w:rPr>
        <w:t>、</w:t>
      </w:r>
      <w:r>
        <w:rPr>
          <w:rFonts w:hint="default" w:ascii="仿宋" w:hAnsi="仿宋" w:eastAsia="仿宋" w:cs="仿宋"/>
          <w:color w:val="auto"/>
          <w:sz w:val="32"/>
          <w:szCs w:val="32"/>
          <w:highlight w:val="none"/>
          <w:u w:val="none"/>
          <w:lang w:val="en-US" w:eastAsia="zh-CN"/>
        </w:rPr>
        <w:t>专科</w:t>
      </w:r>
      <w:r>
        <w:rPr>
          <w:rFonts w:hint="eastAsia" w:ascii="仿宋" w:hAnsi="仿宋" w:eastAsia="仿宋" w:cs="仿宋"/>
          <w:color w:val="auto"/>
          <w:sz w:val="32"/>
          <w:szCs w:val="32"/>
          <w:highlight w:val="none"/>
          <w:u w:val="none"/>
          <w:lang w:val="en-US" w:eastAsia="zh-CN"/>
        </w:rPr>
        <w:t>专业共25</w:t>
      </w:r>
      <w:r>
        <w:rPr>
          <w:rFonts w:hint="default" w:ascii="仿宋" w:hAnsi="仿宋" w:eastAsia="仿宋" w:cs="仿宋"/>
          <w:color w:val="auto"/>
          <w:sz w:val="32"/>
          <w:szCs w:val="32"/>
          <w:highlight w:val="none"/>
          <w:u w:val="none"/>
          <w:lang w:val="en-US" w:eastAsia="zh-CN"/>
        </w:rPr>
        <w:t>个，</w:t>
      </w:r>
      <w:r>
        <w:rPr>
          <w:rFonts w:hint="eastAsia" w:ascii="仿宋" w:hAnsi="仿宋" w:eastAsia="仿宋" w:cs="仿宋"/>
          <w:color w:val="auto"/>
          <w:sz w:val="32"/>
          <w:szCs w:val="32"/>
          <w:highlight w:val="none"/>
          <w:u w:val="none"/>
          <w:lang w:val="en-US" w:eastAsia="zh-CN"/>
        </w:rPr>
        <w:t>同比减少3个。其中，本科11个，占比44%；专科14个，占比56%。2020年招收高等职业教育（扩招）专业共4</w:t>
      </w:r>
      <w:r>
        <w:rPr>
          <w:rFonts w:hint="default" w:ascii="仿宋" w:hAnsi="仿宋" w:eastAsia="仿宋" w:cs="仿宋"/>
          <w:color w:val="auto"/>
          <w:sz w:val="32"/>
          <w:szCs w:val="32"/>
          <w:highlight w:val="none"/>
          <w:u w:val="none"/>
          <w:lang w:val="en-US" w:eastAsia="zh-CN"/>
        </w:rPr>
        <w:t>个</w:t>
      </w:r>
      <w:r>
        <w:rPr>
          <w:rFonts w:hint="eastAsia" w:ascii="仿宋" w:hAnsi="仿宋" w:eastAsia="仿宋" w:cs="仿宋"/>
          <w:color w:val="auto"/>
          <w:sz w:val="32"/>
          <w:szCs w:val="32"/>
          <w:highlight w:val="none"/>
          <w:u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576"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2-3</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 xml:space="preserve">1 </w:t>
      </w:r>
      <w:r>
        <w:rPr>
          <w:rFonts w:hint="eastAsia" w:ascii="仿宋" w:hAnsi="仿宋" w:eastAsia="仿宋" w:cs="仿宋"/>
          <w:color w:val="auto"/>
          <w:kern w:val="0"/>
          <w:sz w:val="28"/>
          <w:szCs w:val="28"/>
          <w:highlight w:val="none"/>
          <w:lang w:val="en-US" w:eastAsia="zh-CN" w:bidi="ar-SA"/>
        </w:rPr>
        <w:t>2020年度开放教育招生规模排名前五位的本科专业</w:t>
      </w:r>
    </w:p>
    <w:tbl>
      <w:tblPr>
        <w:tblStyle w:val="6"/>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土木工程</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146</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会计学</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86</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汉语言文学（师范方向）</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79</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法学</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68</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工商管理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67</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446</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54.5</w:t>
            </w:r>
          </w:p>
        </w:tc>
      </w:tr>
    </w:tbl>
    <w:p>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2-3</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 xml:space="preserve">2 </w:t>
      </w:r>
      <w:r>
        <w:rPr>
          <w:rFonts w:hint="eastAsia" w:ascii="仿宋" w:hAnsi="仿宋" w:eastAsia="仿宋" w:cs="仿宋"/>
          <w:color w:val="auto"/>
          <w:kern w:val="0"/>
          <w:sz w:val="28"/>
          <w:szCs w:val="28"/>
          <w:highlight w:val="none"/>
          <w:lang w:val="en-US" w:eastAsia="zh-CN" w:bidi="ar-SA"/>
        </w:rPr>
        <w:t>2020年度开放教育招生规模排名前五位的专科专业</w:t>
      </w:r>
    </w:p>
    <w:tbl>
      <w:tblPr>
        <w:tblStyle w:val="6"/>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行政管理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1111</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建筑工程技术</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334</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学前教育</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300</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机电一体化技术</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291</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工商企业管理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290</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2326</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82.3</w:t>
            </w:r>
          </w:p>
        </w:tc>
      </w:tr>
    </w:tbl>
    <w:p>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2-3</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 xml:space="preserve">3 </w:t>
      </w:r>
      <w:r>
        <w:rPr>
          <w:rFonts w:hint="eastAsia" w:ascii="仿宋" w:hAnsi="仿宋" w:eastAsia="仿宋" w:cs="仿宋"/>
          <w:color w:val="auto"/>
          <w:kern w:val="0"/>
          <w:sz w:val="28"/>
          <w:szCs w:val="28"/>
          <w:highlight w:val="none"/>
          <w:lang w:val="en-US" w:eastAsia="zh-CN" w:bidi="ar-SA"/>
        </w:rPr>
        <w:t>2020年度高等职业教育（扩招）招收专业</w:t>
      </w:r>
    </w:p>
    <w:tbl>
      <w:tblPr>
        <w:tblStyle w:val="6"/>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9"/>
        <w:gridCol w:w="2908"/>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5"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会计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149</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市场营销</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108</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电子商务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84</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园林技术</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41</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382</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100</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（四）质量提升综治工程</w:t>
      </w:r>
    </w:p>
    <w:p>
      <w:pPr>
        <w:pStyle w:val="2"/>
        <w:keepNext w:val="0"/>
        <w:keepLines w:val="0"/>
        <w:pageBreakBefore w:val="0"/>
        <w:numPr>
          <w:ilvl w:val="0"/>
          <w:numId w:val="0"/>
        </w:numPr>
        <w:kinsoku/>
        <w:wordWrap/>
        <w:overflowPunct/>
        <w:topLinePunct w:val="0"/>
        <w:autoSpaceDE/>
        <w:autoSpaceDN/>
        <w:bidi w:val="0"/>
        <w:adjustRightInd/>
        <w:snapToGrid/>
        <w:spacing w:after="0" w:line="576" w:lineRule="exact"/>
        <w:textAlignment w:val="auto"/>
        <w:outlineLvl w:val="2"/>
        <w:rPr>
          <w:rFonts w:hint="default" w:ascii="仿宋" w:hAnsi="仿宋" w:eastAsia="仿宋" w:cs="Times New Roman"/>
          <w:color w:val="auto"/>
          <w:kern w:val="2"/>
          <w:sz w:val="32"/>
          <w:szCs w:val="32"/>
          <w:highlight w:val="none"/>
          <w:lang w:val="en-US" w:eastAsia="zh-CN" w:bidi="ar-SA"/>
        </w:rPr>
      </w:pPr>
      <w:r>
        <w:rPr>
          <w:rFonts w:hint="eastAsia"/>
          <w:color w:val="auto"/>
          <w:highlight w:val="none"/>
          <w:lang w:val="en-US" w:eastAsia="zh-CN"/>
        </w:rPr>
        <w:t xml:space="preserve">   </w:t>
      </w:r>
      <w:r>
        <w:rPr>
          <w:rFonts w:hint="eastAsia" w:ascii="仿宋" w:hAnsi="仿宋" w:eastAsia="仿宋" w:cs="仿宋"/>
          <w:color w:val="auto"/>
          <w:kern w:val="2"/>
          <w:sz w:val="32"/>
          <w:szCs w:val="32"/>
          <w:highlight w:val="none"/>
          <w:lang w:val="en-US" w:eastAsia="zh-CN" w:bidi="ar-SA"/>
        </w:rPr>
        <w:t xml:space="preserve">  </w:t>
      </w:r>
      <w:r>
        <w:rPr>
          <w:rFonts w:hint="eastAsia" w:ascii="仿宋" w:hAnsi="仿宋" w:eastAsia="仿宋" w:cs="Times New Roman"/>
          <w:color w:val="auto"/>
          <w:kern w:val="2"/>
          <w:sz w:val="32"/>
          <w:szCs w:val="32"/>
          <w:highlight w:val="none"/>
          <w:lang w:val="en-US" w:eastAsia="zh-CN" w:bidi="ar-SA"/>
        </w:rPr>
        <w:t>1.质量保障制度</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Times New Roman"/>
          <w:color w:val="auto"/>
          <w:kern w:val="2"/>
          <w:sz w:val="32"/>
          <w:szCs w:val="32"/>
          <w:highlight w:val="none"/>
          <w:lang w:val="en-US" w:eastAsia="zh-CN" w:bidi="ar-SA"/>
        </w:rPr>
        <w:t>2020年建立健全校内质量管理制度16项。</w:t>
      </w:r>
    </w:p>
    <w:p>
      <w:pPr>
        <w:keepNext w:val="0"/>
        <w:keepLines w:val="0"/>
        <w:pageBreakBefore w:val="0"/>
        <w:widowControl/>
        <w:kinsoku/>
        <w:wordWrap/>
        <w:overflowPunct/>
        <w:topLinePunct w:val="0"/>
        <w:autoSpaceDE/>
        <w:autoSpaceDN/>
        <w:bidi w:val="0"/>
        <w:adjustRightInd/>
        <w:snapToGrid/>
        <w:spacing w:line="576"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表2-4-1  2020年度重要规章制度建设情况</w:t>
      </w:r>
    </w:p>
    <w:tbl>
      <w:tblPr>
        <w:tblStyle w:val="6"/>
        <w:tblW w:w="84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693"/>
        <w:gridCol w:w="5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72"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序号</w:t>
            </w:r>
          </w:p>
        </w:tc>
        <w:tc>
          <w:tcPr>
            <w:tcW w:w="169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类别</w:t>
            </w:r>
          </w:p>
        </w:tc>
        <w:tc>
          <w:tcPr>
            <w:tcW w:w="5879"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693"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办学体系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管理</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萍乡市分校关于进一步加强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教学管理的试行办法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2</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萍乡市分校县级电大和联办教学点</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办学业务工作年度考核办法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3</w:t>
            </w:r>
          </w:p>
        </w:tc>
        <w:tc>
          <w:tcPr>
            <w:tcW w:w="169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招生管理</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萍乡市分校招生工作管理规定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4</w:t>
            </w:r>
          </w:p>
        </w:tc>
        <w:tc>
          <w:tcPr>
            <w:tcW w:w="1693"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教学管理</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萍乡市分校管理教师津贴及考核办法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5</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萍乡市分校辅导教师劳务报酬调整方案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6</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教师教学工作考评办法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7</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萍乡市分校教学和科研成果奖励办法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8</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萍乡市分校线上教学管理办法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9</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萍乡市分校专业教学团队建设方案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10</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萍乡市分校形成性考核实施细则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萍乡市分校教材管理制度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w:t>
            </w:r>
          </w:p>
        </w:tc>
        <w:tc>
          <w:tcPr>
            <w:tcW w:w="1693"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考试管理</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萍乡市分校处置在考试工作期间各类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突发事件的应急预案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萍乡市分校监考人员工作职责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萍乡市分校开放教育期末考试期间</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疫情防控工作方案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关于进一步加强考试管理的若干意见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pageBreakBefore w:val="0"/>
              <w:widowControl/>
              <w:kinsoku/>
              <w:wordWrap/>
              <w:overflowPunct/>
              <w:topLinePunct w:val="0"/>
              <w:autoSpaceDE/>
              <w:autoSpaceDN/>
              <w:bidi w:val="0"/>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w:t>
            </w:r>
          </w:p>
        </w:tc>
        <w:tc>
          <w:tcPr>
            <w:tcW w:w="1693"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p>
        </w:tc>
        <w:tc>
          <w:tcPr>
            <w:tcW w:w="587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省校萍乡市分校监（巡）考工作人员管理办法（试行）</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40" w:firstLineChars="200"/>
        <w:jc w:val="both"/>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2.办学体系和招生管理</w:t>
      </w:r>
    </w:p>
    <w:p>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截至2021年1月，全市办学系统由7个教学点（6个公办学校、1个民办学校）构成。2020年无新增和撤销教学点。2020年教学点本年度共招收学生1248人，占全市招生的31.00%。其中，4个教学点招收学生100人以上。</w:t>
      </w:r>
    </w:p>
    <w:p>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教学点管理工作主要体现在：一是每学期对电大工作站和教学点的业务人员进行招生、教学、教务、考试、科研等各项培训；二是学校领导带队对所有教学点每个学期进行调研指导和教学督促检查，并制定萍乡电大教学点业务综合考评方案。</w:t>
      </w:r>
    </w:p>
    <w:p>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招生管理工作主要体现在：一是高度重视，多次召开会议跟进调度，</w:t>
      </w:r>
      <w:r>
        <w:rPr>
          <w:rFonts w:hint="eastAsia" w:ascii="仿宋" w:hAnsi="仿宋" w:eastAsia="仿宋"/>
          <w:color w:val="auto"/>
          <w:sz w:val="32"/>
          <w:szCs w:val="32"/>
          <w:highlight w:val="none"/>
          <w:lang w:val="en-US" w:eastAsia="zh-CN"/>
        </w:rPr>
        <w:t>及时调整新冠肺炎疫情防控期间招生策略；二是多样方式开展招生宣传，一方面制作专题片，通过网络广告、门户网站、微信及公众号、抖音、短信编制等方法进行重点推送，一方面采取“以生带生”的形式，利用电大现有在校学员、培训班学员等生源广泛宣传，一方面结合招生专业，派专人深入单位、行业系统、部门、个人定向宣传，对符合入学条件的人员进行排摸、逐个宣传登记，把宣传工作做到单位、家庭、个人，点面宣传结合，形成立体的、全方位的宣传层次和招生效应；三是招生宣传规范，招生方式多样，招生审核严格，2020年学校招生工作无违规现象。</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40" w:firstLineChars="200"/>
        <w:jc w:val="both"/>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3.信息化和教学资源建设</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2020年</w:t>
      </w:r>
      <w:r>
        <w:rPr>
          <w:rFonts w:hint="eastAsia" w:ascii="仿宋" w:hAnsi="仿宋" w:eastAsia="仿宋" w:cs="仿宋"/>
          <w:color w:val="auto"/>
          <w:sz w:val="32"/>
          <w:szCs w:val="32"/>
          <w:highlight w:val="none"/>
          <w:lang w:val="en-US" w:eastAsia="zh-CN"/>
        </w:rPr>
        <w:t>共</w:t>
      </w:r>
      <w:r>
        <w:rPr>
          <w:rFonts w:hint="eastAsia" w:ascii="仿宋" w:hAnsi="仿宋" w:eastAsia="仿宋" w:cs="仿宋"/>
          <w:color w:val="auto"/>
          <w:sz w:val="32"/>
          <w:szCs w:val="32"/>
          <w:highlight w:val="none"/>
        </w:rPr>
        <w:t>投入500余万元用于信息化建设。</w:t>
      </w:r>
      <w:r>
        <w:rPr>
          <w:rFonts w:hint="eastAsia" w:ascii="仿宋" w:hAnsi="仿宋" w:eastAsia="仿宋" w:cs="仿宋"/>
          <w:color w:val="auto"/>
          <w:sz w:val="32"/>
          <w:szCs w:val="32"/>
          <w:highlight w:val="none"/>
          <w:lang w:val="en-US" w:eastAsia="zh-CN"/>
        </w:rPr>
        <w:t>目前</w:t>
      </w:r>
      <w:r>
        <w:rPr>
          <w:rFonts w:hint="eastAsia" w:ascii="仿宋" w:hAnsi="仿宋" w:eastAsia="仿宋" w:cs="仿宋"/>
          <w:color w:val="auto"/>
          <w:sz w:val="32"/>
          <w:szCs w:val="32"/>
          <w:highlight w:val="none"/>
        </w:rPr>
        <w:t>新校区建有办公楼、教学楼和信息技术综合楼，校内新建一流的现代化信息中心、网络机房4个260座、专业化普通话测试站20座、多功能报告厅3个、多媒体教室25间。同时建有千兆校园网络并通过电信光纤以200M的速率接入互联网，</w:t>
      </w:r>
      <w:r>
        <w:rPr>
          <w:rFonts w:hint="eastAsia" w:ascii="仿宋" w:hAnsi="仿宋" w:eastAsia="仿宋" w:cs="仿宋"/>
          <w:color w:val="auto"/>
          <w:sz w:val="32"/>
          <w:szCs w:val="32"/>
          <w:highlight w:val="none"/>
          <w:lang w:val="en-US" w:eastAsia="zh-CN"/>
        </w:rPr>
        <w:t>能较好</w:t>
      </w:r>
      <w:r>
        <w:rPr>
          <w:rFonts w:hint="eastAsia" w:ascii="仿宋" w:hAnsi="仿宋" w:eastAsia="仿宋" w:cs="仿宋"/>
          <w:color w:val="auto"/>
          <w:sz w:val="32"/>
          <w:szCs w:val="32"/>
          <w:highlight w:val="none"/>
        </w:rPr>
        <w:t>支撑网络教学和机考。</w:t>
      </w:r>
    </w:p>
    <w:p>
      <w:pPr>
        <w:pStyle w:val="2"/>
        <w:keepNext w:val="0"/>
        <w:keepLines w:val="0"/>
        <w:pageBreakBefore w:val="0"/>
        <w:kinsoku/>
        <w:wordWrap/>
        <w:overflowPunct/>
        <w:topLinePunct w:val="0"/>
        <w:autoSpaceDE/>
        <w:autoSpaceDN/>
        <w:bidi w:val="0"/>
        <w:adjustRightInd/>
        <w:snapToGrid/>
        <w:spacing w:after="0" w:line="576" w:lineRule="exact"/>
        <w:ind w:firstLine="640" w:firstLineChars="200"/>
        <w:textAlignment w:val="auto"/>
        <w:rPr>
          <w:rFonts w:hint="default" w:eastAsia="仿宋"/>
          <w:color w:val="auto"/>
          <w:highlight w:val="none"/>
          <w:lang w:val="en-US" w:eastAsia="zh-CN"/>
        </w:rPr>
      </w:pPr>
      <w:r>
        <w:rPr>
          <w:rFonts w:hint="eastAsia" w:ascii="仿宋" w:hAnsi="仿宋" w:eastAsia="仿宋" w:cs="仿宋"/>
          <w:color w:val="auto"/>
          <w:sz w:val="32"/>
          <w:szCs w:val="32"/>
          <w:highlight w:val="none"/>
          <w:lang w:val="en-US" w:eastAsia="zh-CN"/>
        </w:rPr>
        <w:t>围绕“立师德、塑师表、铸师魂”，以龚全珍与龚全珍的师德、精神传承者为对象进行课程资源建设，目前已出版发行《师德楷模——龚全珍》第二版（于2020年12月出版发行）等文字资源，另外4个主题的课程视频资源正在创建中。2020年共发放教材54147本，教材征订率达87.91%以上。</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40" w:firstLineChars="200"/>
        <w:jc w:val="both"/>
        <w:textAlignment w:val="auto"/>
        <w:outlineLvl w:val="2"/>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4.学习支持服务和教学过程</w:t>
      </w:r>
    </w:p>
    <w:p>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default" w:ascii="仿宋" w:hAnsi="仿宋" w:eastAsia="仿宋" w:cs="宋体"/>
          <w:color w:val="auto"/>
          <w:kern w:val="0"/>
          <w:sz w:val="32"/>
          <w:szCs w:val="32"/>
          <w:highlight w:val="none"/>
          <w:lang w:val="en-US" w:eastAsia="zh-CN" w:bidi="ar-SA"/>
        </w:rPr>
      </w:pPr>
      <w:r>
        <w:rPr>
          <w:rFonts w:hint="eastAsia" w:ascii="仿宋" w:hAnsi="仿宋" w:eastAsia="仿宋" w:cs="宋体"/>
          <w:color w:val="auto"/>
          <w:kern w:val="0"/>
          <w:sz w:val="32"/>
          <w:szCs w:val="32"/>
          <w:highlight w:val="none"/>
          <w:lang w:val="en-US" w:eastAsia="zh-CN" w:bidi="ar-SA"/>
        </w:rPr>
        <w:t>（1）强化教学过程管理。一是执行领导干部值班制度，对教学一线各个教学环节落实情况进行检查，及时发现问题并解决问题；二是执行推门听课制度，通过现场听课、评课和学生交流，及时了解一线教师上课情况，了解学生对课程学习的需求；三是建立管理教师考核制度、直属教学班值班制度，加强对班级教学情况的检查，及时通报检查结果，并把结果纳入月考核与学期考核进行奖惩；四是做好基于网络形考课程的督导和形考成绩评定工作，2020年共完成431门课程计35931人次的网上作业评阅，并把学生参加面授课、网上学习、完成形考作业等情况与形考成绩挂钩，形考成绩输机严格把关，完成形考成绩输机16243科次。</w:t>
      </w:r>
    </w:p>
    <w:p>
      <w:pPr>
        <w:pStyle w:val="2"/>
        <w:keepNext w:val="0"/>
        <w:keepLines w:val="0"/>
        <w:pageBreakBefore w:val="0"/>
        <w:kinsoku/>
        <w:wordWrap/>
        <w:overflowPunct/>
        <w:topLinePunct w:val="0"/>
        <w:autoSpaceDE/>
        <w:autoSpaceDN/>
        <w:bidi w:val="0"/>
        <w:adjustRightInd/>
        <w:snapToGrid/>
        <w:spacing w:after="0" w:line="576" w:lineRule="exact"/>
        <w:ind w:firstLine="640"/>
        <w:textAlignment w:val="auto"/>
        <w:rPr>
          <w:rFonts w:hint="eastAsia" w:ascii="仿宋" w:hAnsi="仿宋" w:eastAsia="仿宋" w:cs="宋体"/>
          <w:color w:val="auto"/>
          <w:kern w:val="0"/>
          <w:sz w:val="32"/>
          <w:szCs w:val="32"/>
          <w:highlight w:val="none"/>
          <w:lang w:val="en-US" w:eastAsia="zh-CN" w:bidi="ar-SA"/>
        </w:rPr>
      </w:pPr>
      <w:r>
        <w:rPr>
          <w:rFonts w:hint="eastAsia" w:ascii="仿宋" w:hAnsi="仿宋" w:eastAsia="仿宋" w:cs="宋体"/>
          <w:color w:val="auto"/>
          <w:kern w:val="0"/>
          <w:sz w:val="32"/>
          <w:szCs w:val="32"/>
          <w:highlight w:val="none"/>
          <w:lang w:val="en-US" w:eastAsia="zh-CN" w:bidi="ar-SA"/>
        </w:rPr>
        <w:t>（2）抓好网上教学工作。一是积极探索在线课堂教学模式，2020年除开设面授课程54门外，利用CCTALK等现代化信息平台大量开设直播课，全年开设线上课18门，累计课时236，参与学生3000多人次；二是建设在线课程常态化教学机制，</w:t>
      </w:r>
      <w:r>
        <w:rPr>
          <w:rFonts w:hint="eastAsia" w:ascii="仿宋" w:hAnsi="仿宋" w:eastAsia="仿宋" w:cs="宋体"/>
          <w:color w:val="auto"/>
          <w:kern w:val="0"/>
          <w:sz w:val="32"/>
          <w:szCs w:val="32"/>
          <w:highlight w:val="none"/>
          <w:lang w:val="en-US" w:eastAsia="zh-CN" w:bidi="ar-SA"/>
        </w:rPr>
        <w:t>制定</w:t>
      </w:r>
      <w:r>
        <w:rPr>
          <w:rFonts w:hint="eastAsia" w:ascii="仿宋" w:hAnsi="仿宋" w:eastAsia="仿宋" w:cs="宋体"/>
          <w:color w:val="auto"/>
          <w:kern w:val="0"/>
          <w:sz w:val="32"/>
          <w:szCs w:val="32"/>
          <w:highlight w:val="none"/>
          <w:lang w:val="en-US" w:eastAsia="zh-CN" w:bidi="ar-SA"/>
        </w:rPr>
        <w:t>《萍乡市分校线上教学管理办法》，将网上教学课排入课表，对学生网上学习情况进行跟踪、督促、反馈，由管理教师负责全过程督查，并将督查结果纳入学期考核予以奖惩。</w:t>
      </w:r>
    </w:p>
    <w:p>
      <w:pPr>
        <w:pStyle w:val="2"/>
        <w:keepNext w:val="0"/>
        <w:keepLines w:val="0"/>
        <w:pageBreakBefore w:val="0"/>
        <w:kinsoku/>
        <w:wordWrap/>
        <w:overflowPunct/>
        <w:topLinePunct w:val="0"/>
        <w:autoSpaceDE/>
        <w:autoSpaceDN/>
        <w:bidi w:val="0"/>
        <w:adjustRightInd/>
        <w:snapToGrid/>
        <w:spacing w:after="0" w:line="576" w:lineRule="exact"/>
        <w:ind w:firstLine="640" w:firstLineChars="200"/>
        <w:textAlignment w:val="auto"/>
        <w:rPr>
          <w:rFonts w:hint="eastAsia" w:ascii="仿宋" w:hAnsi="仿宋" w:eastAsia="仿宋" w:cs="宋体"/>
          <w:color w:val="auto"/>
          <w:kern w:val="0"/>
          <w:sz w:val="32"/>
          <w:szCs w:val="32"/>
          <w:highlight w:val="none"/>
          <w:lang w:val="en-US" w:eastAsia="zh-CN" w:bidi="ar-SA"/>
        </w:rPr>
      </w:pPr>
      <w:r>
        <w:rPr>
          <w:rFonts w:hint="eastAsia" w:ascii="仿宋" w:hAnsi="仿宋" w:eastAsia="仿宋" w:cs="宋体"/>
          <w:color w:val="auto"/>
          <w:kern w:val="0"/>
          <w:sz w:val="32"/>
          <w:szCs w:val="32"/>
          <w:highlight w:val="none"/>
          <w:lang w:val="en-US" w:eastAsia="zh-CN" w:bidi="ar-SA"/>
        </w:rPr>
        <w:t>（3）加强对所辖教学点的教学检查和督导。2020年学校对全市6家教学点进行专项教学检查，针对教学点教学组织虚化、网上教学活动少等情况进行专项督导。</w:t>
      </w:r>
    </w:p>
    <w:p>
      <w:pPr>
        <w:pStyle w:val="2"/>
        <w:keepNext w:val="0"/>
        <w:keepLines w:val="0"/>
        <w:pageBreakBefore w:val="0"/>
        <w:kinsoku/>
        <w:wordWrap/>
        <w:overflowPunct/>
        <w:topLinePunct w:val="0"/>
        <w:autoSpaceDE/>
        <w:autoSpaceDN/>
        <w:bidi w:val="0"/>
        <w:adjustRightInd/>
        <w:snapToGrid/>
        <w:spacing w:after="0" w:line="576" w:lineRule="exact"/>
        <w:ind w:firstLine="640" w:firstLineChars="200"/>
        <w:textAlignment w:val="auto"/>
        <w:rPr>
          <w:rFonts w:hint="eastAsia" w:ascii="仿宋" w:hAnsi="仿宋" w:eastAsia="仿宋" w:cs="宋体"/>
          <w:color w:val="auto"/>
          <w:kern w:val="0"/>
          <w:sz w:val="32"/>
          <w:szCs w:val="32"/>
          <w:highlight w:val="none"/>
          <w:lang w:val="en-US" w:eastAsia="zh-CN" w:bidi="ar-SA"/>
        </w:rPr>
      </w:pPr>
      <w:r>
        <w:rPr>
          <w:rFonts w:hint="eastAsia" w:ascii="仿宋" w:hAnsi="仿宋" w:eastAsia="仿宋" w:cs="宋体"/>
          <w:color w:val="auto"/>
          <w:kern w:val="0"/>
          <w:sz w:val="32"/>
          <w:szCs w:val="32"/>
          <w:highlight w:val="none"/>
          <w:lang w:val="en-US" w:eastAsia="zh-CN" w:bidi="ar-SA"/>
        </w:rPr>
        <w:t>（4）探索双轨制教学。根据学生和专业教师建议，将社会考试（如会计职称考试、执业药师考试、教师资格证等）知识内容渗透到相关专业正常教学之中，受到学生的欢迎。</w:t>
      </w:r>
    </w:p>
    <w:p>
      <w:pPr>
        <w:pStyle w:val="2"/>
        <w:keepNext w:val="0"/>
        <w:keepLines w:val="0"/>
        <w:pageBreakBefore w:val="0"/>
        <w:kinsoku/>
        <w:wordWrap/>
        <w:overflowPunct/>
        <w:topLinePunct w:val="0"/>
        <w:autoSpaceDE/>
        <w:autoSpaceDN/>
        <w:bidi w:val="0"/>
        <w:adjustRightInd/>
        <w:snapToGrid/>
        <w:spacing w:after="0" w:line="576" w:lineRule="exact"/>
        <w:ind w:firstLine="640" w:firstLineChars="200"/>
        <w:textAlignment w:val="auto"/>
        <w:rPr>
          <w:rFonts w:hint="eastAsia" w:ascii="仿宋" w:hAnsi="仿宋" w:eastAsia="仿宋" w:cs="宋体"/>
          <w:color w:val="auto"/>
          <w:kern w:val="0"/>
          <w:sz w:val="32"/>
          <w:szCs w:val="32"/>
          <w:highlight w:val="none"/>
          <w:lang w:val="en-US" w:eastAsia="zh-CN" w:bidi="ar-SA"/>
        </w:rPr>
      </w:pPr>
      <w:r>
        <w:rPr>
          <w:rFonts w:hint="eastAsia" w:ascii="仿宋" w:hAnsi="仿宋" w:eastAsia="仿宋" w:cs="宋体"/>
          <w:color w:val="auto"/>
          <w:kern w:val="0"/>
          <w:sz w:val="32"/>
          <w:szCs w:val="32"/>
          <w:highlight w:val="none"/>
          <w:lang w:val="en-US" w:eastAsia="zh-CN" w:bidi="ar-SA"/>
        </w:rPr>
        <w:t>（5）开展实践教学。2020年组织会计模拟实验、建筑施工与管理现场操作指导、学前教育现场教学、一村一名大学生赴示范性实践基地进行实地教学等实践活动，对实践教学模式进行了有益尝试。</w:t>
      </w: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576"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2-4-4-1 2020</w:t>
      </w:r>
      <w:r>
        <w:rPr>
          <w:rFonts w:hint="eastAsia" w:ascii="仿宋" w:hAnsi="仿宋" w:eastAsia="仿宋" w:cs="仿宋"/>
          <w:color w:val="auto"/>
          <w:kern w:val="0"/>
          <w:sz w:val="28"/>
          <w:szCs w:val="28"/>
          <w:highlight w:val="none"/>
          <w:lang w:eastAsia="zh-CN"/>
        </w:rPr>
        <w:t>年度国开</w:t>
      </w:r>
      <w:r>
        <w:rPr>
          <w:rFonts w:hint="eastAsia" w:ascii="仿宋" w:hAnsi="仿宋" w:eastAsia="仿宋" w:cs="仿宋"/>
          <w:color w:val="auto"/>
          <w:kern w:val="0"/>
          <w:sz w:val="28"/>
          <w:szCs w:val="28"/>
          <w:highlight w:val="none"/>
          <w:lang w:val="en-US" w:eastAsia="zh-CN"/>
        </w:rPr>
        <w:t>学习网教学基本情况</w:t>
      </w:r>
    </w:p>
    <w:tbl>
      <w:tblPr>
        <w:tblStyle w:val="6"/>
        <w:tblW w:w="67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1283"/>
        <w:gridCol w:w="1217"/>
        <w:gridCol w:w="1110"/>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5"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学期</w:t>
            </w:r>
          </w:p>
        </w:tc>
        <w:tc>
          <w:tcPr>
            <w:tcW w:w="128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生师比</w:t>
            </w:r>
          </w:p>
        </w:tc>
        <w:tc>
          <w:tcPr>
            <w:tcW w:w="121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上线学生比例</w:t>
            </w:r>
          </w:p>
        </w:tc>
        <w:tc>
          <w:tcPr>
            <w:tcW w:w="11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上线教师比例</w:t>
            </w:r>
          </w:p>
        </w:tc>
        <w:tc>
          <w:tcPr>
            <w:tcW w:w="198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35.31</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103.81</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95.60</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59.92</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102.03</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99.50</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r>
    </w:tbl>
    <w:p>
      <w:pPr>
        <w:pStyle w:val="9"/>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both"/>
        <w:textAlignment w:val="center"/>
        <w:rPr>
          <w:rFonts w:hint="eastAsia" w:ascii="仿宋" w:hAnsi="仿宋" w:eastAsia="仿宋" w:cs="仿宋"/>
          <w:color w:val="auto"/>
          <w:kern w:val="0"/>
          <w:sz w:val="28"/>
          <w:szCs w:val="28"/>
          <w:highlight w:val="none"/>
          <w:lang w:val="en-US" w:eastAsia="zh-CN"/>
        </w:rPr>
      </w:pP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4-4-2</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en-US" w:eastAsia="zh-CN"/>
        </w:rPr>
        <w:t>2020</w:t>
      </w:r>
      <w:r>
        <w:rPr>
          <w:rFonts w:hint="eastAsia" w:ascii="仿宋" w:hAnsi="仿宋" w:eastAsia="仿宋" w:cs="仿宋"/>
          <w:color w:val="auto"/>
          <w:kern w:val="0"/>
          <w:sz w:val="28"/>
          <w:szCs w:val="28"/>
          <w:highlight w:val="none"/>
          <w:lang w:eastAsia="zh-CN"/>
        </w:rPr>
        <w:t>年度国开</w:t>
      </w:r>
      <w:r>
        <w:rPr>
          <w:rFonts w:hint="eastAsia" w:ascii="仿宋" w:hAnsi="仿宋" w:eastAsia="仿宋" w:cs="仿宋"/>
          <w:color w:val="auto"/>
          <w:kern w:val="0"/>
          <w:sz w:val="28"/>
          <w:szCs w:val="28"/>
          <w:highlight w:val="none"/>
          <w:lang w:val="en-US" w:eastAsia="zh-CN"/>
        </w:rPr>
        <w:t>学习网教学支持服务情况</w:t>
      </w:r>
    </w:p>
    <w:tbl>
      <w:tblPr>
        <w:tblStyle w:val="5"/>
        <w:tblW w:w="8175" w:type="dxa"/>
        <w:jc w:val="center"/>
        <w:shd w:val="clear" w:color="auto" w:fill="auto"/>
        <w:tblLayout w:type="fixed"/>
        <w:tblCellMar>
          <w:top w:w="0" w:type="dxa"/>
          <w:left w:w="0" w:type="dxa"/>
          <w:bottom w:w="0" w:type="dxa"/>
          <w:right w:w="0" w:type="dxa"/>
        </w:tblCellMar>
      </w:tblPr>
      <w:tblGrid>
        <w:gridCol w:w="1225"/>
        <w:gridCol w:w="1200"/>
        <w:gridCol w:w="1084"/>
        <w:gridCol w:w="1128"/>
        <w:gridCol w:w="1138"/>
        <w:gridCol w:w="1017"/>
        <w:gridCol w:w="1383"/>
      </w:tblGrid>
      <w:tr>
        <w:tblPrEx>
          <w:tblCellMar>
            <w:top w:w="0" w:type="dxa"/>
            <w:left w:w="0" w:type="dxa"/>
            <w:bottom w:w="0" w:type="dxa"/>
            <w:right w:w="0" w:type="dxa"/>
          </w:tblCellMar>
        </w:tblPrEx>
        <w:trPr>
          <w:trHeight w:val="1247" w:hRule="atLeas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学期</w:t>
            </w:r>
          </w:p>
        </w:tc>
        <w:tc>
          <w:tcPr>
            <w:tcW w:w="120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学生行</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为总数</w:t>
            </w:r>
          </w:p>
        </w:tc>
        <w:tc>
          <w:tcPr>
            <w:tcW w:w="1084"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学生在</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线天数</w:t>
            </w:r>
          </w:p>
        </w:tc>
        <w:tc>
          <w:tcPr>
            <w:tcW w:w="112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学生人均在线行为次数</w:t>
            </w:r>
          </w:p>
        </w:tc>
        <w:tc>
          <w:tcPr>
            <w:tcW w:w="113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教师行</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为总数</w:t>
            </w:r>
          </w:p>
        </w:tc>
        <w:tc>
          <w:tcPr>
            <w:tcW w:w="1017"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教师在</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线天数</w:t>
            </w:r>
          </w:p>
        </w:tc>
        <w:tc>
          <w:tcPr>
            <w:tcW w:w="1383"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教师人均在线行为次数</w:t>
            </w:r>
          </w:p>
        </w:tc>
      </w:tr>
      <w:tr>
        <w:tblPrEx>
          <w:tblCellMar>
            <w:top w:w="0" w:type="dxa"/>
            <w:left w:w="0" w:type="dxa"/>
            <w:bottom w:w="0" w:type="dxa"/>
            <w:right w:w="0" w:type="dxa"/>
          </w:tblCellMar>
        </w:tblPrEx>
        <w:trPr>
          <w:trHeight w:val="460"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9773883</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56100</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1470.20</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4111318</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8160</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13524.07</w:t>
            </w:r>
          </w:p>
        </w:tc>
      </w:tr>
      <w:tr>
        <w:tblPrEx>
          <w:tblCellMar>
            <w:top w:w="0" w:type="dxa"/>
            <w:left w:w="0" w:type="dxa"/>
            <w:bottom w:w="0" w:type="dxa"/>
            <w:right w:w="0" w:type="dxa"/>
          </w:tblCellMar>
        </w:tblPrEx>
        <w:trPr>
          <w:trHeight w:val="460"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r>
      <w:tr>
        <w:tblPrEx>
          <w:tblCellMar>
            <w:top w:w="0" w:type="dxa"/>
            <w:left w:w="0" w:type="dxa"/>
            <w:bottom w:w="0" w:type="dxa"/>
            <w:right w:w="0" w:type="dxa"/>
          </w:tblCellMar>
        </w:tblPrEx>
        <w:trPr>
          <w:trHeight w:val="460"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18378498</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75221</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2386.20</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4360197</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10486</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21692.52</w:t>
            </w:r>
          </w:p>
        </w:tc>
      </w:tr>
      <w:tr>
        <w:tblPrEx>
          <w:tblCellMar>
            <w:top w:w="0" w:type="dxa"/>
            <w:left w:w="0" w:type="dxa"/>
            <w:bottom w:w="0" w:type="dxa"/>
            <w:right w:w="0" w:type="dxa"/>
          </w:tblCellMar>
        </w:tblPrEx>
        <w:trPr>
          <w:trHeight w:val="460"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r>
    </w:tbl>
    <w:p>
      <w:pPr>
        <w:pStyle w:val="9"/>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both"/>
        <w:textAlignment w:val="center"/>
        <w:rPr>
          <w:rFonts w:hint="eastAsia" w:ascii="仿宋" w:hAnsi="仿宋" w:eastAsia="仿宋" w:cs="仿宋"/>
          <w:color w:val="auto"/>
          <w:kern w:val="0"/>
          <w:sz w:val="28"/>
          <w:szCs w:val="28"/>
          <w:highlight w:val="none"/>
          <w:lang w:val="en-US" w:eastAsia="zh-CN"/>
        </w:rPr>
      </w:pP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表2-4-4-3 2020年度开放教育面授教学基本情况</w:t>
      </w:r>
    </w:p>
    <w:tbl>
      <w:tblPr>
        <w:tblStyle w:val="6"/>
        <w:tblW w:w="6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2194"/>
        <w:gridCol w:w="2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61"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学期</w:t>
            </w:r>
          </w:p>
        </w:tc>
        <w:tc>
          <w:tcPr>
            <w:tcW w:w="219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面授辅导课次</w:t>
            </w:r>
          </w:p>
        </w:tc>
        <w:tc>
          <w:tcPr>
            <w:tcW w:w="274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1"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2020</w:t>
            </w:r>
            <w:r>
              <w:rPr>
                <w:rFonts w:hint="eastAsia" w:ascii="仿宋" w:hAnsi="仿宋" w:eastAsia="仿宋" w:cs="仿宋"/>
                <w:color w:val="auto"/>
                <w:sz w:val="28"/>
                <w:szCs w:val="28"/>
                <w:highlight w:val="none"/>
              </w:rPr>
              <w:t>春</w:t>
            </w:r>
          </w:p>
        </w:tc>
        <w:tc>
          <w:tcPr>
            <w:tcW w:w="2194" w:type="dxa"/>
            <w:vAlign w:val="center"/>
          </w:tcPr>
          <w:p>
            <w:pPr>
              <w:widowControl/>
              <w:spacing w:line="52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rPr>
              <w:t>336</w:t>
            </w:r>
          </w:p>
        </w:tc>
        <w:tc>
          <w:tcPr>
            <w:tcW w:w="2743" w:type="dxa"/>
            <w:vAlign w:val="center"/>
          </w:tcPr>
          <w:p>
            <w:pPr>
              <w:widowControl/>
              <w:spacing w:line="52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1"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2020</w:t>
            </w:r>
            <w:r>
              <w:rPr>
                <w:rFonts w:hint="eastAsia" w:ascii="仿宋" w:hAnsi="仿宋" w:eastAsia="仿宋" w:cs="仿宋"/>
                <w:color w:val="auto"/>
                <w:sz w:val="28"/>
                <w:szCs w:val="28"/>
                <w:highlight w:val="none"/>
              </w:rPr>
              <w:t>秋</w:t>
            </w:r>
          </w:p>
        </w:tc>
        <w:tc>
          <w:tcPr>
            <w:tcW w:w="2194" w:type="dxa"/>
            <w:vAlign w:val="center"/>
          </w:tcPr>
          <w:p>
            <w:pPr>
              <w:widowControl/>
              <w:spacing w:line="52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rPr>
              <w:t>1620</w:t>
            </w:r>
          </w:p>
        </w:tc>
        <w:tc>
          <w:tcPr>
            <w:tcW w:w="2743" w:type="dxa"/>
            <w:vAlign w:val="center"/>
          </w:tcPr>
          <w:p>
            <w:pPr>
              <w:widowControl/>
              <w:spacing w:line="52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rPr>
              <w:t>15%</w:t>
            </w:r>
          </w:p>
        </w:tc>
      </w:tr>
    </w:tbl>
    <w:p>
      <w:pPr>
        <w:pStyle w:val="9"/>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表2-4-4-4 2020年度开放教育实践教学情况</w:t>
      </w:r>
    </w:p>
    <w:tbl>
      <w:tblPr>
        <w:tblStyle w:val="6"/>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2574"/>
        <w:gridCol w:w="2486"/>
        <w:gridCol w:w="2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02"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学期</w:t>
            </w:r>
          </w:p>
        </w:tc>
        <w:tc>
          <w:tcPr>
            <w:tcW w:w="257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实践基地新增数量</w:t>
            </w:r>
          </w:p>
        </w:tc>
        <w:tc>
          <w:tcPr>
            <w:tcW w:w="2486"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实践基地总数</w:t>
            </w:r>
          </w:p>
        </w:tc>
        <w:tc>
          <w:tcPr>
            <w:tcW w:w="251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0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2020</w:t>
            </w:r>
            <w:r>
              <w:rPr>
                <w:rFonts w:hint="eastAsia" w:ascii="仿宋" w:hAnsi="仿宋" w:eastAsia="仿宋" w:cs="仿宋"/>
                <w:color w:val="auto"/>
                <w:sz w:val="28"/>
                <w:szCs w:val="28"/>
                <w:highlight w:val="none"/>
              </w:rPr>
              <w:t>春</w:t>
            </w:r>
          </w:p>
        </w:tc>
        <w:tc>
          <w:tcPr>
            <w:tcW w:w="2574" w:type="dxa"/>
            <w:vAlign w:val="center"/>
          </w:tcPr>
          <w:p>
            <w:pPr>
              <w:widowControl/>
              <w:spacing w:line="52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w:t>
            </w:r>
          </w:p>
        </w:tc>
        <w:tc>
          <w:tcPr>
            <w:tcW w:w="2486" w:type="dxa"/>
            <w:vAlign w:val="center"/>
          </w:tcPr>
          <w:p>
            <w:pPr>
              <w:widowControl/>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w:t>
            </w:r>
          </w:p>
        </w:tc>
        <w:tc>
          <w:tcPr>
            <w:tcW w:w="2517" w:type="dxa"/>
            <w:vAlign w:val="center"/>
          </w:tcPr>
          <w:p>
            <w:pPr>
              <w:widowControl/>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02" w:type="dxa"/>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2020</w:t>
            </w:r>
            <w:r>
              <w:rPr>
                <w:rFonts w:hint="eastAsia" w:ascii="仿宋" w:hAnsi="仿宋" w:eastAsia="仿宋" w:cs="仿宋"/>
                <w:color w:val="auto"/>
                <w:sz w:val="28"/>
                <w:szCs w:val="28"/>
                <w:highlight w:val="none"/>
              </w:rPr>
              <w:t>秋</w:t>
            </w:r>
          </w:p>
        </w:tc>
        <w:tc>
          <w:tcPr>
            <w:tcW w:w="2574" w:type="dxa"/>
            <w:vAlign w:val="center"/>
          </w:tcPr>
          <w:p>
            <w:pPr>
              <w:widowControl/>
              <w:spacing w:line="52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w:t>
            </w:r>
          </w:p>
        </w:tc>
        <w:tc>
          <w:tcPr>
            <w:tcW w:w="2486" w:type="dxa"/>
            <w:vAlign w:val="center"/>
          </w:tcPr>
          <w:p>
            <w:pPr>
              <w:widowControl/>
              <w:spacing w:line="52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w:t>
            </w:r>
          </w:p>
        </w:tc>
        <w:tc>
          <w:tcPr>
            <w:tcW w:w="2517" w:type="dxa"/>
            <w:vAlign w:val="center"/>
          </w:tcPr>
          <w:p>
            <w:pPr>
              <w:widowControl/>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outlineLvl w:val="2"/>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5.考试组织情况</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left"/>
        <w:textAlignment w:val="center"/>
        <w:rPr>
          <w:rFonts w:hint="default" w:ascii="仿宋" w:hAnsi="仿宋" w:eastAsia="仿宋" w:cs="宋体"/>
          <w:color w:val="auto"/>
          <w:kern w:val="0"/>
          <w:sz w:val="32"/>
          <w:szCs w:val="32"/>
          <w:highlight w:val="none"/>
          <w:lang w:val="en-US" w:eastAsia="zh-CN" w:bidi="ar-SA"/>
        </w:rPr>
      </w:pPr>
      <w:r>
        <w:rPr>
          <w:rFonts w:hint="eastAsia" w:ascii="仿宋" w:hAnsi="仿宋" w:eastAsia="仿宋" w:cs="宋体"/>
          <w:color w:val="auto"/>
          <w:kern w:val="0"/>
          <w:sz w:val="32"/>
          <w:szCs w:val="32"/>
          <w:highlight w:val="none"/>
          <w:lang w:val="en-US" w:eastAsia="zh-CN" w:bidi="ar-SA"/>
        </w:rPr>
        <w:t>全面落实“治考”要求，成立开放教育期末考试工作领导小组和开放教育期末考试舆情工作领导小组。制定《监考人员考试工作流程》《巡考工作情况反馈表》《关于进一步加强考试管理的若干意见》和“治乱提质促发展”工作方案，多次召开专项工作会议，加强考风考纪教育，规范考试组织过程，严肃考风考纪，层层压实责任到人。省校飞巡组巡考对萍乡市分校校本部、萍乡市公关职业中等专业学校、萍乡市电大湘东区工作站2020秋季考试工作进行检查，反映良好。</w:t>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表2-4-5 2020</w:t>
      </w:r>
      <w:r>
        <w:rPr>
          <w:rFonts w:hint="eastAsia" w:ascii="仿宋" w:hAnsi="仿宋" w:eastAsia="仿宋" w:cs="仿宋"/>
          <w:color w:val="auto"/>
          <w:kern w:val="0"/>
          <w:sz w:val="28"/>
          <w:szCs w:val="28"/>
          <w:highlight w:val="none"/>
          <w:lang w:eastAsia="zh-CN"/>
        </w:rPr>
        <w:t>年度开放教育</w:t>
      </w:r>
      <w:r>
        <w:rPr>
          <w:rFonts w:hint="eastAsia" w:ascii="仿宋" w:hAnsi="仿宋" w:eastAsia="仿宋" w:cs="仿宋"/>
          <w:color w:val="auto"/>
          <w:kern w:val="0"/>
          <w:sz w:val="28"/>
          <w:szCs w:val="28"/>
          <w:highlight w:val="none"/>
          <w:lang w:val="en-US" w:eastAsia="zh-CN" w:bidi="ar-SA"/>
        </w:rPr>
        <w:t>考试情况</w:t>
      </w:r>
    </w:p>
    <w:tbl>
      <w:tblPr>
        <w:tblStyle w:val="6"/>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9"/>
        <w:gridCol w:w="1637"/>
        <w:gridCol w:w="1788"/>
        <w:gridCol w:w="1782"/>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39"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学期</w:t>
            </w:r>
          </w:p>
        </w:tc>
        <w:tc>
          <w:tcPr>
            <w:tcW w:w="163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实考人数</w:t>
            </w:r>
          </w:p>
        </w:tc>
        <w:tc>
          <w:tcPr>
            <w:tcW w:w="178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实考率</w:t>
            </w:r>
          </w:p>
        </w:tc>
        <w:tc>
          <w:tcPr>
            <w:tcW w:w="1782"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合格人数</w:t>
            </w:r>
          </w:p>
        </w:tc>
        <w:tc>
          <w:tcPr>
            <w:tcW w:w="177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3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63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40904</w:t>
            </w:r>
          </w:p>
        </w:tc>
        <w:tc>
          <w:tcPr>
            <w:tcW w:w="17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96.47 </w:t>
            </w:r>
          </w:p>
        </w:tc>
        <w:tc>
          <w:tcPr>
            <w:tcW w:w="178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37467</w:t>
            </w:r>
          </w:p>
        </w:tc>
        <w:tc>
          <w:tcPr>
            <w:tcW w:w="177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91.60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53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63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40990</w:t>
            </w:r>
          </w:p>
        </w:tc>
        <w:tc>
          <w:tcPr>
            <w:tcW w:w="17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90.07 </w:t>
            </w:r>
          </w:p>
        </w:tc>
        <w:tc>
          <w:tcPr>
            <w:tcW w:w="178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36277</w:t>
            </w:r>
          </w:p>
        </w:tc>
        <w:tc>
          <w:tcPr>
            <w:tcW w:w="177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88.50 </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6.教学检查结果</w:t>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表2-4-6 2020年度国开学习网教学检查排名</w:t>
      </w:r>
    </w:p>
    <w:tbl>
      <w:tblPr>
        <w:tblStyle w:val="6"/>
        <w:tblW w:w="8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7"/>
        <w:gridCol w:w="2187"/>
        <w:gridCol w:w="2013"/>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28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2020春季总分</w:t>
            </w:r>
          </w:p>
        </w:tc>
        <w:tc>
          <w:tcPr>
            <w:tcW w:w="218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2020春季排名</w:t>
            </w:r>
          </w:p>
        </w:tc>
        <w:tc>
          <w:tcPr>
            <w:tcW w:w="201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2020秋季总分</w:t>
            </w:r>
          </w:p>
        </w:tc>
        <w:tc>
          <w:tcPr>
            <w:tcW w:w="212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2020秋季排名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28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60.5308861</w:t>
            </w:r>
          </w:p>
        </w:tc>
        <w:tc>
          <w:tcPr>
            <w:tcW w:w="218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201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72.54271539</w:t>
            </w:r>
          </w:p>
        </w:tc>
        <w:tc>
          <w:tcPr>
            <w:tcW w:w="212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（五）思政教育和学生工作</w:t>
      </w:r>
    </w:p>
    <w:p>
      <w:pPr>
        <w:keepNext w:val="0"/>
        <w:keepLines w:val="0"/>
        <w:pageBreakBefore w:val="0"/>
        <w:widowControl w:val="0"/>
        <w:kinsoku/>
        <w:wordWrap/>
        <w:overflowPunct/>
        <w:topLinePunct w:val="0"/>
        <w:autoSpaceDE/>
        <w:autoSpaceDN/>
        <w:bidi w:val="0"/>
        <w:spacing w:line="576" w:lineRule="exact"/>
        <w:ind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一是以学生为中心，思政教育贯穿学习过程。通过开学典礼、主题班会、学生座谈会、奖先评优等形式，利用学校网站、校园宣传栏、QQ、微信等宣传媒介，营造“正学风”的浓厚氛围；成立首届开放教育学生会，结合时政情况组织21项学生活动。二是改革思政教育课程形式，以面授、网上学习和专题讲座三结合的方式组织思政课教学。2020年度学校邀请专家教授举办《提升网络舆情应对能力，保障网络意识形态安全》《略谈现代领导（与管理）的章法》等专题讲座。三是依托龚全珍师德教育学院开展思政实践教育，以访谈课、宣讲课等形式在学生中开展思政教育，利用学院教学实践基地结合本地红色教育资源在学生中积极开展思政实践教育。四是积极开发思政课程建设与研究，完成省校思政课程资源共建并通过验收，思政课题《继续教育“立德树人”机制研究》获省校校级课题立项。</w:t>
      </w:r>
      <w:bookmarkStart w:id="1" w:name="_GoBack"/>
      <w:bookmarkEnd w:id="1"/>
    </w:p>
    <w:p>
      <w:pPr>
        <w:pStyle w:val="2"/>
        <w:keepNext w:val="0"/>
        <w:keepLines w:val="0"/>
        <w:pageBreakBefore w:val="0"/>
        <w:widowControl w:val="0"/>
        <w:kinsoku/>
        <w:wordWrap/>
        <w:overflowPunct/>
        <w:topLinePunct w:val="0"/>
        <w:autoSpaceDE/>
        <w:autoSpaceDN/>
        <w:bidi w:val="0"/>
        <w:spacing w:after="0" w:line="576" w:lineRule="exact"/>
        <w:textAlignment w:val="auto"/>
        <w:rPr>
          <w:rFonts w:hint="default"/>
          <w:color w:val="auto"/>
          <w:highlight w:val="none"/>
          <w:lang w:val="en-US" w:eastAsia="zh-CN"/>
        </w:rPr>
      </w:pPr>
      <w:r>
        <w:rPr>
          <w:rFonts w:hint="eastAsia" w:ascii="仿宋" w:hAnsi="仿宋" w:eastAsia="仿宋" w:cs="仿宋"/>
          <w:color w:val="auto"/>
          <w:sz w:val="32"/>
          <w:szCs w:val="32"/>
          <w:highlight w:val="none"/>
          <w:lang w:val="en-US" w:eastAsia="zh-CN"/>
        </w:rPr>
        <w:t xml:space="preserve">    学校2020年思政教育与学生工作成果喜人。20秋护理本科学生刘炎萍被湖北省委省政府评为“最美逆行者”，谭洪年、叶洪两位老师获国家开放大学优秀班主任称号，魏清被评为国家开放大学师德先进个人，学校学生20人获“国家开放大学奖学金”，1人获“希望的田野”奖学金，2人被评为国家开放大学优秀毕业生，18人被评为全省系统2020年度优秀学员，8位学员被评为全省系统“一村一名大学生”优秀毕业生。</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576" w:lineRule="exact"/>
        <w:ind w:firstLine="640" w:firstLineChars="200"/>
        <w:jc w:val="both"/>
        <w:textAlignment w:val="auto"/>
        <w:outlineLvl w:val="0"/>
        <w:rPr>
          <w:rFonts w:hint="eastAsia" w:ascii="黑体" w:hAnsi="黑体" w:eastAsia="黑体" w:cs="黑体"/>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办学条件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（一）办学场地与设施</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outlineLvl w:val="2"/>
        <w:rPr>
          <w:rFonts w:hint="default"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lang w:val="en-US" w:eastAsia="zh-CN"/>
        </w:rPr>
        <w:t>1.校本部搬迁改造</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按照市政府城区教育网点统一布局，2020年8月</w:t>
      </w:r>
      <w:r>
        <w:rPr>
          <w:rFonts w:hint="eastAsia" w:ascii="仿宋" w:hAnsi="仿宋" w:eastAsia="仿宋" w:cs="仿宋"/>
          <w:bCs/>
          <w:color w:val="auto"/>
          <w:sz w:val="32"/>
          <w:szCs w:val="32"/>
          <w:highlight w:val="none"/>
          <w:lang w:val="en-US" w:eastAsia="zh-CN"/>
        </w:rPr>
        <w:t>萍乡市分校</w:t>
      </w:r>
      <w:r>
        <w:rPr>
          <w:rFonts w:hint="eastAsia" w:ascii="仿宋" w:hAnsi="仿宋" w:eastAsia="仿宋" w:cs="仿宋"/>
          <w:bCs/>
          <w:color w:val="auto"/>
          <w:sz w:val="32"/>
          <w:szCs w:val="32"/>
          <w:highlight w:val="none"/>
        </w:rPr>
        <w:t>整体搬迁到新校区，从硬件到软件均有</w:t>
      </w:r>
      <w:r>
        <w:rPr>
          <w:rFonts w:hint="eastAsia" w:ascii="仿宋" w:hAnsi="仿宋" w:eastAsia="仿宋" w:cs="仿宋"/>
          <w:bCs/>
          <w:color w:val="auto"/>
          <w:sz w:val="32"/>
          <w:szCs w:val="32"/>
          <w:highlight w:val="none"/>
          <w:lang w:eastAsia="zh-CN"/>
        </w:rPr>
        <w:t>极大</w:t>
      </w:r>
      <w:r>
        <w:rPr>
          <w:rFonts w:hint="eastAsia" w:ascii="仿宋" w:hAnsi="仿宋" w:eastAsia="仿宋" w:cs="仿宋"/>
          <w:bCs/>
          <w:color w:val="auto"/>
          <w:sz w:val="32"/>
          <w:szCs w:val="32"/>
          <w:highlight w:val="none"/>
          <w:lang w:val="en-US" w:eastAsia="zh-CN"/>
        </w:rPr>
        <w:t>的</w:t>
      </w:r>
      <w:r>
        <w:rPr>
          <w:rFonts w:hint="eastAsia" w:ascii="仿宋" w:hAnsi="仿宋" w:eastAsia="仿宋" w:cs="仿宋"/>
          <w:bCs/>
          <w:color w:val="auto"/>
          <w:sz w:val="32"/>
          <w:szCs w:val="32"/>
          <w:highlight w:val="none"/>
          <w:lang w:eastAsia="zh-CN"/>
        </w:rPr>
        <w:t>提升</w:t>
      </w:r>
      <w:r>
        <w:rPr>
          <w:rFonts w:hint="eastAsia" w:ascii="仿宋" w:hAnsi="仿宋" w:eastAsia="仿宋" w:cs="仿宋"/>
          <w:bCs/>
          <w:color w:val="auto"/>
          <w:sz w:val="32"/>
          <w:szCs w:val="32"/>
          <w:highlight w:val="none"/>
        </w:rPr>
        <w:t>。学校投资1400余万元，对教学楼、信息技术综合楼、办公楼、学生宿舍和运动场进行了翻新改造</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lang w:val="en-US" w:eastAsia="zh-CN"/>
        </w:rPr>
        <w:t>办学支持能力得到提升</w:t>
      </w:r>
      <w:r>
        <w:rPr>
          <w:rFonts w:hint="eastAsia" w:ascii="仿宋" w:hAnsi="仿宋" w:eastAsia="仿宋" w:cs="仿宋"/>
          <w:bCs/>
          <w:color w:val="auto"/>
          <w:sz w:val="32"/>
          <w:szCs w:val="32"/>
          <w:highlight w:val="none"/>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outlineLvl w:val="2"/>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2.建设校外实践基地</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32"/>
          <w:szCs w:val="32"/>
          <w:highlight w:val="none"/>
        </w:rPr>
        <w:t>按照国家开放大学建设要求，结合萍乡产业发展特点和学生学习的实际需要，</w:t>
      </w:r>
      <w:r>
        <w:rPr>
          <w:rFonts w:hint="eastAsia" w:ascii="仿宋" w:hAnsi="仿宋" w:eastAsia="仿宋" w:cs="仿宋"/>
          <w:color w:val="auto"/>
          <w:kern w:val="0"/>
          <w:sz w:val="32"/>
          <w:szCs w:val="32"/>
          <w:highlight w:val="none"/>
          <w:lang w:val="en-US" w:eastAsia="zh-CN"/>
        </w:rPr>
        <w:t>2020年新增2个校外实践基地，分别是：江西省柴米油盐果蔬电子商务有限公司建立的创新实验（实训）室，三角池红色实训基地建立的专业大类实验（实训）室。</w:t>
      </w:r>
    </w:p>
    <w:p>
      <w:pPr>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color w:val="auto"/>
          <w:kern w:val="0"/>
          <w:sz w:val="28"/>
          <w:szCs w:val="28"/>
          <w:highlight w:val="none"/>
          <w:lang w:val="en-US" w:eastAsia="zh-CN"/>
        </w:rPr>
      </w:pPr>
    </w:p>
    <w:p>
      <w:pPr>
        <w:pageBreakBefore w:val="0"/>
        <w:widowControl/>
        <w:kinsoku/>
        <w:wordWrap/>
        <w:overflowPunct/>
        <w:topLinePunct w:val="0"/>
        <w:autoSpaceDE/>
        <w:autoSpaceDN/>
        <w:bidi w:val="0"/>
        <w:adjustRightInd w:val="0"/>
        <w:snapToGrid w:val="0"/>
        <w:spacing w:line="520" w:lineRule="exact"/>
        <w:jc w:val="center"/>
        <w:textAlignment w:val="center"/>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color w:val="auto"/>
          <w:kern w:val="0"/>
          <w:sz w:val="28"/>
          <w:szCs w:val="28"/>
          <w:highlight w:val="none"/>
          <w:lang w:val="en-US" w:eastAsia="zh-CN"/>
        </w:rPr>
        <w:t>表3-1 2020年度办学场地与设施</w:t>
      </w:r>
    </w:p>
    <w:tbl>
      <w:tblPr>
        <w:tblStyle w:val="6"/>
        <w:tblW w:w="103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1020"/>
        <w:gridCol w:w="979"/>
        <w:gridCol w:w="828"/>
        <w:gridCol w:w="828"/>
        <w:gridCol w:w="828"/>
        <w:gridCol w:w="828"/>
        <w:gridCol w:w="828"/>
        <w:gridCol w:w="829"/>
        <w:gridCol w:w="829"/>
        <w:gridCol w:w="829"/>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shd w:val="clear" w:color="auto" w:fill="D7D7D7" w:themeFill="background1" w:themeFillShade="D8"/>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p>
        </w:tc>
        <w:tc>
          <w:tcPr>
            <w:tcW w:w="1020" w:type="dxa"/>
            <w:shd w:val="clear" w:color="auto" w:fill="D7D7D7" w:themeFill="background1" w:themeFillShade="D8"/>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办学场地面积（亩）</w:t>
            </w:r>
          </w:p>
        </w:tc>
        <w:tc>
          <w:tcPr>
            <w:tcW w:w="979" w:type="dxa"/>
            <w:shd w:val="clear" w:color="auto" w:fill="D7D7D7" w:themeFill="background1" w:themeFillShade="D8"/>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办学用房面积（平方米）</w:t>
            </w:r>
          </w:p>
        </w:tc>
        <w:tc>
          <w:tcPr>
            <w:tcW w:w="828" w:type="dxa"/>
            <w:shd w:val="clear" w:color="auto" w:fill="D7D7D7" w:themeFill="background1" w:themeFillShade="D8"/>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办学用房生均面积（平方米）</w:t>
            </w:r>
          </w:p>
        </w:tc>
        <w:tc>
          <w:tcPr>
            <w:tcW w:w="828" w:type="dxa"/>
            <w:shd w:val="clear" w:color="auto" w:fill="D7D7D7" w:themeFill="background1" w:themeFillShade="D8"/>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能容纳</w:t>
            </w:r>
            <w:r>
              <w:rPr>
                <w:rFonts w:hint="eastAsia" w:ascii="仿宋" w:hAnsi="仿宋" w:eastAsia="仿宋" w:cs="仿宋"/>
                <w:b w:val="0"/>
                <w:bCs w:val="0"/>
                <w:color w:val="auto"/>
                <w:kern w:val="2"/>
                <w:sz w:val="28"/>
                <w:szCs w:val="28"/>
                <w:highlight w:val="none"/>
                <w:u w:val="single"/>
                <w:lang w:val="en-US" w:eastAsia="zh-CN" w:bidi="ar-SA"/>
              </w:rPr>
              <w:t>30</w:t>
            </w:r>
            <w:r>
              <w:rPr>
                <w:rFonts w:hint="eastAsia" w:ascii="仿宋" w:hAnsi="仿宋" w:eastAsia="仿宋" w:cs="仿宋"/>
                <w:b w:val="0"/>
                <w:bCs w:val="0"/>
                <w:color w:val="auto"/>
                <w:kern w:val="2"/>
                <w:sz w:val="28"/>
                <w:szCs w:val="28"/>
                <w:highlight w:val="none"/>
                <w:u w:val="none"/>
                <w:lang w:val="en-US" w:eastAsia="zh-CN" w:bidi="ar-SA"/>
              </w:rPr>
              <w:t>人的教室间数</w:t>
            </w:r>
          </w:p>
        </w:tc>
        <w:tc>
          <w:tcPr>
            <w:tcW w:w="828" w:type="dxa"/>
            <w:shd w:val="clear" w:color="auto" w:fill="D7D7D7" w:themeFill="background1" w:themeFillShade="D8"/>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在籍生数与教室数比（%）</w:t>
            </w:r>
          </w:p>
        </w:tc>
        <w:tc>
          <w:tcPr>
            <w:tcW w:w="828" w:type="dxa"/>
            <w:shd w:val="clear" w:color="auto" w:fill="D7D7D7" w:themeFill="background1" w:themeFillShade="D8"/>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计算机台数</w:t>
            </w:r>
          </w:p>
        </w:tc>
        <w:tc>
          <w:tcPr>
            <w:tcW w:w="828" w:type="dxa"/>
            <w:shd w:val="clear" w:color="auto" w:fill="D7D7D7" w:themeFill="background1" w:themeFillShade="D8"/>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在籍生数与计算机数比（%）</w:t>
            </w:r>
          </w:p>
        </w:tc>
        <w:tc>
          <w:tcPr>
            <w:tcW w:w="829" w:type="dxa"/>
            <w:shd w:val="clear" w:color="auto" w:fill="D7D7D7" w:themeFill="background1" w:themeFillShade="D8"/>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在职教师人数</w:t>
            </w:r>
          </w:p>
        </w:tc>
        <w:tc>
          <w:tcPr>
            <w:tcW w:w="829" w:type="dxa"/>
            <w:shd w:val="clear" w:color="auto" w:fill="D7D7D7" w:themeFill="background1" w:themeFillShade="D8"/>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lang w:val="en-US" w:eastAsia="zh-CN" w:bidi="ar-SA"/>
              </w:rPr>
              <w:t>聘任教师人数</w:t>
            </w:r>
          </w:p>
        </w:tc>
        <w:tc>
          <w:tcPr>
            <w:tcW w:w="829" w:type="dxa"/>
            <w:shd w:val="clear" w:color="auto" w:fill="D7D7D7" w:themeFill="background1" w:themeFillShade="D8"/>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生师比</w:t>
            </w:r>
          </w:p>
        </w:tc>
        <w:tc>
          <w:tcPr>
            <w:tcW w:w="829" w:type="dxa"/>
            <w:shd w:val="clear" w:color="auto" w:fill="D7D7D7" w:themeFill="background1" w:themeFillShade="D8"/>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校外实践基地个数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84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校本部</w:t>
            </w:r>
          </w:p>
        </w:tc>
        <w:tc>
          <w:tcPr>
            <w:tcW w:w="1020"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19.57</w:t>
            </w:r>
          </w:p>
        </w:tc>
        <w:tc>
          <w:tcPr>
            <w:tcW w:w="97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10558</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0.83</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50</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0.39</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343</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2.67</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118</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77</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1.52</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28"/>
                <w:szCs w:val="28"/>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28"/>
                <w:szCs w:val="28"/>
                <w:highlight w:val="none"/>
                <w:vertAlign w:val="baseline"/>
                <w:lang w:val="en-US" w:eastAsia="zh-CN" w:bidi="ar-SA"/>
              </w:rPr>
              <w:t>全省排名</w:t>
            </w:r>
          </w:p>
        </w:tc>
        <w:tc>
          <w:tcPr>
            <w:tcW w:w="1020"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32"/>
                <w:szCs w:val="32"/>
                <w:highlight w:val="none"/>
                <w:vertAlign w:val="baseline"/>
                <w:lang w:val="en-US" w:eastAsia="zh-CN" w:bidi="ar-SA"/>
              </w:rPr>
              <w:t>5</w:t>
            </w:r>
          </w:p>
        </w:tc>
        <w:tc>
          <w:tcPr>
            <w:tcW w:w="97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32"/>
                <w:szCs w:val="32"/>
                <w:highlight w:val="none"/>
                <w:vertAlign w:val="baseline"/>
                <w:lang w:val="en-US" w:eastAsia="zh-CN" w:bidi="ar-SA"/>
              </w:rPr>
              <w:t>7</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32"/>
                <w:szCs w:val="32"/>
                <w:highlight w:val="none"/>
                <w:vertAlign w:val="baseline"/>
                <w:lang w:val="en-US" w:eastAsia="zh-CN" w:bidi="ar-SA"/>
              </w:rPr>
              <w:t>8</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32"/>
                <w:szCs w:val="32"/>
                <w:highlight w:val="none"/>
                <w:vertAlign w:val="baseline"/>
                <w:lang w:val="en-US" w:eastAsia="zh-CN" w:bidi="ar-SA"/>
              </w:rPr>
              <w:t>2</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32"/>
                <w:szCs w:val="32"/>
                <w:highlight w:val="none"/>
                <w:vertAlign w:val="baseline"/>
                <w:lang w:val="en-US" w:eastAsia="zh-CN" w:bidi="ar-SA"/>
              </w:rPr>
              <w:t>5</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32"/>
                <w:szCs w:val="32"/>
                <w:highlight w:val="none"/>
                <w:vertAlign w:val="baseline"/>
                <w:lang w:val="en-US" w:eastAsia="zh-CN" w:bidi="ar-SA"/>
              </w:rPr>
              <w:t>2</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32"/>
                <w:szCs w:val="32"/>
                <w:highlight w:val="none"/>
                <w:vertAlign w:val="baseline"/>
                <w:lang w:val="en-US" w:eastAsia="zh-CN" w:bidi="ar-SA"/>
              </w:rPr>
              <w:t>6</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32"/>
                <w:szCs w:val="32"/>
                <w:highlight w:val="none"/>
                <w:vertAlign w:val="baseline"/>
                <w:lang w:val="en-US" w:eastAsia="zh-CN" w:bidi="ar-SA"/>
              </w:rPr>
              <w:t>2</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32"/>
                <w:szCs w:val="32"/>
                <w:highlight w:val="none"/>
                <w:vertAlign w:val="baseline"/>
                <w:lang w:val="en-US" w:eastAsia="zh-CN" w:bidi="ar-SA"/>
              </w:rPr>
              <w:t>3</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32"/>
                <w:szCs w:val="32"/>
                <w:highlight w:val="none"/>
                <w:vertAlign w:val="baseline"/>
                <w:lang w:val="en-US" w:eastAsia="zh-CN" w:bidi="ar-SA"/>
              </w:rPr>
              <w:t>4</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 w:hAnsi="仿宋" w:eastAsia="仿宋" w:cs="仿宋"/>
                <w:b w:val="0"/>
                <w:bCs w:val="0"/>
                <w:color w:val="auto"/>
                <w:kern w:val="2"/>
                <w:sz w:val="32"/>
                <w:szCs w:val="32"/>
                <w:highlight w:val="none"/>
                <w:vertAlign w:val="baseline"/>
                <w:lang w:val="en-US" w:eastAsia="zh-CN" w:bidi="ar-SA"/>
              </w:rPr>
            </w:pPr>
            <w:r>
              <w:rPr>
                <w:rFonts w:hint="eastAsia" w:ascii="仿宋" w:hAnsi="仿宋" w:eastAsia="仿宋" w:cs="仿宋"/>
                <w:b w:val="0"/>
                <w:bCs w:val="0"/>
                <w:color w:val="auto"/>
                <w:kern w:val="2"/>
                <w:sz w:val="32"/>
                <w:szCs w:val="32"/>
                <w:highlight w:val="none"/>
                <w:vertAlign w:val="baseline"/>
                <w:lang w:val="en-US" w:eastAsia="zh-CN" w:bidi="ar-SA"/>
              </w:rPr>
              <w:t>3</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（二）师资队伍</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left="0" w:firstLine="640" w:firstLineChars="200"/>
        <w:jc w:val="both"/>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olor w:val="auto"/>
          <w:sz w:val="32"/>
          <w:szCs w:val="32"/>
          <w:highlight w:val="none"/>
          <w:lang w:val="en-US" w:eastAsia="zh-CN"/>
        </w:rPr>
        <w:t>现有118名专职教师，其中，副高级以上职称教师72名，中级职称教师30名，硕士研究生7名；同时聘任兼职教师84名，保证每个专业有1至2名以上专职教师和若干名优秀兼职教师构建专业教学团队。</w:t>
      </w:r>
      <w:r>
        <w:rPr>
          <w:rFonts w:hint="eastAsia" w:ascii="仿宋" w:hAnsi="仿宋" w:eastAsia="仿宋" w:cs="仿宋"/>
          <w:color w:val="auto"/>
          <w:kern w:val="0"/>
          <w:sz w:val="32"/>
          <w:szCs w:val="32"/>
          <w:highlight w:val="none"/>
        </w:rPr>
        <w:t>2020年</w:t>
      </w:r>
      <w:r>
        <w:rPr>
          <w:rFonts w:hint="eastAsia" w:ascii="仿宋" w:hAnsi="仿宋" w:eastAsia="仿宋" w:cs="仿宋"/>
          <w:color w:val="auto"/>
          <w:kern w:val="0"/>
          <w:sz w:val="32"/>
          <w:szCs w:val="32"/>
          <w:highlight w:val="none"/>
          <w:lang w:val="en-US" w:eastAsia="zh-CN"/>
        </w:rPr>
        <w:t>学校</w:t>
      </w:r>
      <w:r>
        <w:rPr>
          <w:rFonts w:hint="eastAsia" w:ascii="仿宋" w:hAnsi="仿宋" w:eastAsia="仿宋" w:cs="仿宋"/>
          <w:color w:val="auto"/>
          <w:kern w:val="0"/>
          <w:sz w:val="32"/>
          <w:szCs w:val="32"/>
          <w:highlight w:val="none"/>
        </w:rPr>
        <w:t>蒋健萍、钟莉老师</w:t>
      </w:r>
      <w:r>
        <w:rPr>
          <w:rFonts w:hint="eastAsia" w:ascii="仿宋" w:hAnsi="仿宋" w:eastAsia="仿宋" w:cs="仿宋"/>
          <w:color w:val="auto"/>
          <w:kern w:val="0"/>
          <w:sz w:val="32"/>
          <w:szCs w:val="32"/>
          <w:highlight w:val="none"/>
          <w:lang w:val="en-US" w:eastAsia="zh-CN"/>
        </w:rPr>
        <w:t>荣</w:t>
      </w:r>
      <w:r>
        <w:rPr>
          <w:rFonts w:hint="eastAsia" w:ascii="仿宋" w:hAnsi="仿宋" w:eastAsia="仿宋" w:cs="仿宋"/>
          <w:color w:val="auto"/>
          <w:kern w:val="0"/>
          <w:sz w:val="32"/>
          <w:szCs w:val="32"/>
          <w:highlight w:val="none"/>
        </w:rPr>
        <w:t>获</w:t>
      </w:r>
      <w:r>
        <w:rPr>
          <w:rFonts w:hint="eastAsia" w:ascii="仿宋" w:hAnsi="仿宋" w:eastAsia="仿宋" w:cs="仿宋"/>
          <w:color w:val="auto"/>
          <w:kern w:val="0"/>
          <w:sz w:val="32"/>
          <w:szCs w:val="32"/>
          <w:highlight w:val="none"/>
          <w:lang w:eastAsia="zh-CN"/>
        </w:rPr>
        <w:t>“</w:t>
      </w:r>
      <w:r>
        <w:rPr>
          <w:rFonts w:hint="eastAsia" w:ascii="仿宋" w:hAnsi="仿宋" w:eastAsia="仿宋" w:cs="仿宋"/>
          <w:color w:val="auto"/>
          <w:kern w:val="0"/>
          <w:sz w:val="32"/>
          <w:szCs w:val="32"/>
          <w:highlight w:val="none"/>
          <w:lang w:val="en-US" w:eastAsia="zh-CN"/>
        </w:rPr>
        <w:t>全省系统</w:t>
      </w:r>
      <w:r>
        <w:rPr>
          <w:rFonts w:hint="eastAsia" w:ascii="仿宋" w:hAnsi="仿宋" w:eastAsia="仿宋" w:cs="仿宋"/>
          <w:color w:val="auto"/>
          <w:kern w:val="0"/>
          <w:sz w:val="32"/>
          <w:szCs w:val="32"/>
          <w:highlight w:val="none"/>
        </w:rPr>
        <w:t>优秀教师年度人物</w:t>
      </w:r>
      <w:r>
        <w:rPr>
          <w:rFonts w:hint="eastAsia" w:ascii="仿宋" w:hAnsi="仿宋" w:eastAsia="仿宋" w:cs="仿宋"/>
          <w:color w:val="auto"/>
          <w:kern w:val="0"/>
          <w:sz w:val="32"/>
          <w:szCs w:val="32"/>
          <w:highlight w:val="none"/>
          <w:lang w:eastAsia="zh-CN"/>
        </w:rPr>
        <w:t>”</w:t>
      </w:r>
      <w:r>
        <w:rPr>
          <w:rFonts w:hint="eastAsia" w:ascii="仿宋" w:hAnsi="仿宋" w:eastAsia="仿宋" w:cs="仿宋"/>
          <w:color w:val="auto"/>
          <w:kern w:val="0"/>
          <w:sz w:val="32"/>
          <w:szCs w:val="32"/>
          <w:highlight w:val="none"/>
          <w:lang w:val="en-US" w:eastAsia="zh-CN"/>
        </w:rPr>
        <w:t>称号</w:t>
      </w:r>
      <w:r>
        <w:rPr>
          <w:rFonts w:hint="eastAsia" w:ascii="仿宋" w:hAnsi="仿宋" w:eastAsia="仿宋" w:cs="仿宋"/>
          <w:color w:val="auto"/>
          <w:kern w:val="0"/>
          <w:sz w:val="32"/>
          <w:szCs w:val="32"/>
          <w:highlight w:val="none"/>
        </w:rPr>
        <w:t>。</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表3-2 2020年度教师情况</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outlineLvl w:val="1"/>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2"/>
          <w:sz w:val="28"/>
          <w:szCs w:val="28"/>
          <w:highlight w:val="none"/>
          <w:lang w:val="en-US" w:eastAsia="zh-CN" w:bidi="ar-SA"/>
        </w:rPr>
        <w:t>校内教师数量与结构</w:t>
      </w:r>
    </w:p>
    <w:tbl>
      <w:tblPr>
        <w:tblStyle w:val="5"/>
        <w:tblW w:w="8390" w:type="dxa"/>
        <w:tblInd w:w="0" w:type="dxa"/>
        <w:tblLayout w:type="fixed"/>
        <w:tblCellMar>
          <w:top w:w="0" w:type="dxa"/>
          <w:left w:w="108" w:type="dxa"/>
          <w:bottom w:w="0" w:type="dxa"/>
          <w:right w:w="108" w:type="dxa"/>
        </w:tblCellMar>
      </w:tblPr>
      <w:tblGrid>
        <w:gridCol w:w="1113"/>
        <w:gridCol w:w="623"/>
        <w:gridCol w:w="850"/>
        <w:gridCol w:w="851"/>
        <w:gridCol w:w="850"/>
        <w:gridCol w:w="851"/>
        <w:gridCol w:w="666"/>
        <w:gridCol w:w="739"/>
        <w:gridCol w:w="544"/>
        <w:gridCol w:w="739"/>
        <w:gridCol w:w="564"/>
      </w:tblGrid>
      <w:tr>
        <w:tblPrEx>
          <w:tblCellMar>
            <w:top w:w="0" w:type="dxa"/>
            <w:left w:w="108" w:type="dxa"/>
            <w:bottom w:w="0" w:type="dxa"/>
            <w:right w:w="108" w:type="dxa"/>
          </w:tblCellMar>
        </w:tblPrEx>
        <w:trPr>
          <w:trHeight w:val="655" w:hRule="atLeast"/>
        </w:trPr>
        <w:tc>
          <w:tcPr>
            <w:tcW w:w="1113"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623"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专职教师人数</w:t>
            </w:r>
          </w:p>
        </w:tc>
        <w:tc>
          <w:tcPr>
            <w:tcW w:w="3402" w:type="dxa"/>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职称情况</w:t>
            </w:r>
          </w:p>
        </w:tc>
        <w:tc>
          <w:tcPr>
            <w:tcW w:w="3252" w:type="dxa"/>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113"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p>
        </w:tc>
        <w:tc>
          <w:tcPr>
            <w:tcW w:w="623"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硕士生人数</w:t>
            </w:r>
          </w:p>
        </w:tc>
        <w:tc>
          <w:tcPr>
            <w:tcW w:w="54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本科人数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大专人数</w:t>
            </w:r>
          </w:p>
        </w:tc>
        <w:tc>
          <w:tcPr>
            <w:tcW w:w="56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大专以下人数</w:t>
            </w:r>
          </w:p>
        </w:tc>
      </w:tr>
      <w:tr>
        <w:tblPrEx>
          <w:tblCellMar>
            <w:top w:w="0" w:type="dxa"/>
            <w:left w:w="108" w:type="dxa"/>
            <w:bottom w:w="0" w:type="dxa"/>
            <w:right w:w="108" w:type="dxa"/>
          </w:tblCellMar>
        </w:tblPrEx>
        <w:trPr>
          <w:trHeight w:val="453" w:hRule="atLeast"/>
        </w:trPr>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校本部</w:t>
            </w:r>
          </w:p>
        </w:tc>
        <w:tc>
          <w:tcPr>
            <w:tcW w:w="62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28</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23</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r>
      <w:tr>
        <w:tblPrEx>
          <w:tblCellMar>
            <w:top w:w="0" w:type="dxa"/>
            <w:left w:w="108" w:type="dxa"/>
            <w:bottom w:w="0" w:type="dxa"/>
            <w:right w:w="108" w:type="dxa"/>
          </w:tblCellMar>
        </w:tblPrEx>
        <w:trPr>
          <w:trHeight w:val="560" w:hRule="atLeast"/>
        </w:trPr>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所辖教学点汇总</w:t>
            </w:r>
          </w:p>
        </w:tc>
        <w:tc>
          <w:tcPr>
            <w:tcW w:w="62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90</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60</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23</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7</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2</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88</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r>
    </w:tbl>
    <w:p>
      <w:pPr>
        <w:pageBreakBefore w:val="0"/>
        <w:widowControl/>
        <w:kinsoku/>
        <w:wordWrap/>
        <w:overflowPunct/>
        <w:topLinePunct w:val="0"/>
        <w:autoSpaceDE/>
        <w:autoSpaceDN/>
        <w:bidi w:val="0"/>
        <w:adjustRightInd w:val="0"/>
        <w:snapToGrid w:val="0"/>
        <w:spacing w:line="520" w:lineRule="exact"/>
        <w:jc w:val="center"/>
        <w:textAlignment w:val="center"/>
        <w:outlineLvl w:val="1"/>
        <w:rPr>
          <w:rFonts w:hint="eastAsia" w:ascii="仿宋" w:hAnsi="仿宋" w:eastAsia="仿宋" w:cs="仿宋"/>
          <w:color w:val="auto"/>
          <w:kern w:val="0"/>
          <w:sz w:val="28"/>
          <w:szCs w:val="28"/>
          <w:highlight w:val="none"/>
          <w:lang w:val="en-US" w:eastAsia="zh-CN" w:bidi="ar-SA"/>
        </w:rPr>
      </w:pPr>
    </w:p>
    <w:p>
      <w:pPr>
        <w:pageBreakBefore w:val="0"/>
        <w:widowControl/>
        <w:kinsoku/>
        <w:wordWrap/>
        <w:overflowPunct/>
        <w:topLinePunct w:val="0"/>
        <w:autoSpaceDE/>
        <w:autoSpaceDN/>
        <w:bidi w:val="0"/>
        <w:adjustRightInd w:val="0"/>
        <w:snapToGrid w:val="0"/>
        <w:spacing w:line="520" w:lineRule="exact"/>
        <w:jc w:val="center"/>
        <w:textAlignment w:val="center"/>
        <w:outlineLvl w:val="1"/>
        <w:rPr>
          <w:rFonts w:hint="eastAsia" w:ascii="仿宋" w:hAnsi="仿宋" w:eastAsia="仿宋" w:cs="仿宋"/>
          <w:color w:val="auto"/>
          <w:kern w:val="0"/>
          <w:sz w:val="28"/>
          <w:szCs w:val="28"/>
          <w:highlight w:val="none"/>
          <w:lang w:val="en-US" w:eastAsia="zh-CN" w:bidi="ar-SA"/>
        </w:rPr>
      </w:pPr>
    </w:p>
    <w:p>
      <w:pPr>
        <w:pageBreakBefore w:val="0"/>
        <w:widowControl/>
        <w:kinsoku/>
        <w:wordWrap/>
        <w:overflowPunct/>
        <w:topLinePunct w:val="0"/>
        <w:autoSpaceDE/>
        <w:autoSpaceDN/>
        <w:bidi w:val="0"/>
        <w:adjustRightInd w:val="0"/>
        <w:snapToGrid w:val="0"/>
        <w:spacing w:line="520" w:lineRule="exact"/>
        <w:jc w:val="center"/>
        <w:textAlignment w:val="center"/>
        <w:outlineLvl w:val="1"/>
        <w:rPr>
          <w:rFonts w:hint="eastAsia" w:ascii="仿宋" w:hAnsi="仿宋" w:eastAsia="仿宋" w:cs="仿宋"/>
          <w:color w:val="auto"/>
          <w:kern w:val="0"/>
          <w:sz w:val="28"/>
          <w:szCs w:val="28"/>
          <w:highlight w:val="none"/>
          <w:lang w:val="en-US" w:eastAsia="zh-CN" w:bidi="ar-SA"/>
        </w:rPr>
      </w:pPr>
    </w:p>
    <w:p>
      <w:pPr>
        <w:pageBreakBefore w:val="0"/>
        <w:widowControl/>
        <w:kinsoku/>
        <w:wordWrap/>
        <w:overflowPunct/>
        <w:topLinePunct w:val="0"/>
        <w:autoSpaceDE/>
        <w:autoSpaceDN/>
        <w:bidi w:val="0"/>
        <w:adjustRightInd w:val="0"/>
        <w:snapToGrid w:val="0"/>
        <w:spacing w:line="520" w:lineRule="exact"/>
        <w:jc w:val="center"/>
        <w:textAlignment w:val="center"/>
        <w:outlineLvl w:val="1"/>
        <w:rPr>
          <w:rFonts w:hint="eastAsia" w:ascii="仿宋" w:hAnsi="仿宋" w:eastAsia="仿宋" w:cs="仿宋"/>
          <w:color w:val="auto"/>
          <w:kern w:val="0"/>
          <w:sz w:val="28"/>
          <w:szCs w:val="28"/>
          <w:highlight w:val="none"/>
          <w:lang w:val="en-US" w:eastAsia="zh-CN" w:bidi="ar-SA"/>
        </w:rPr>
      </w:pPr>
    </w:p>
    <w:p>
      <w:pPr>
        <w:pageBreakBefore w:val="0"/>
        <w:widowControl/>
        <w:kinsoku/>
        <w:wordWrap/>
        <w:overflowPunct/>
        <w:topLinePunct w:val="0"/>
        <w:autoSpaceDE/>
        <w:autoSpaceDN/>
        <w:bidi w:val="0"/>
        <w:adjustRightInd w:val="0"/>
        <w:snapToGrid w:val="0"/>
        <w:spacing w:line="520" w:lineRule="exact"/>
        <w:jc w:val="center"/>
        <w:textAlignment w:val="center"/>
        <w:outlineLvl w:val="1"/>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bidi="ar-SA"/>
        </w:rPr>
        <w:t>校外聘任教师数量与结构</w:t>
      </w:r>
    </w:p>
    <w:tbl>
      <w:tblPr>
        <w:tblStyle w:val="5"/>
        <w:tblW w:w="8390" w:type="dxa"/>
        <w:tblInd w:w="0" w:type="dxa"/>
        <w:tblLayout w:type="fixed"/>
        <w:tblCellMar>
          <w:top w:w="0" w:type="dxa"/>
          <w:left w:w="108" w:type="dxa"/>
          <w:bottom w:w="0" w:type="dxa"/>
          <w:right w:w="108" w:type="dxa"/>
        </w:tblCellMar>
      </w:tblPr>
      <w:tblGrid>
        <w:gridCol w:w="1113"/>
        <w:gridCol w:w="623"/>
        <w:gridCol w:w="850"/>
        <w:gridCol w:w="851"/>
        <w:gridCol w:w="850"/>
        <w:gridCol w:w="851"/>
        <w:gridCol w:w="666"/>
        <w:gridCol w:w="739"/>
        <w:gridCol w:w="544"/>
        <w:gridCol w:w="739"/>
        <w:gridCol w:w="564"/>
      </w:tblGrid>
      <w:tr>
        <w:tblPrEx>
          <w:tblCellMar>
            <w:top w:w="0" w:type="dxa"/>
            <w:left w:w="108" w:type="dxa"/>
            <w:bottom w:w="0" w:type="dxa"/>
            <w:right w:w="108" w:type="dxa"/>
          </w:tblCellMar>
        </w:tblPrEx>
        <w:trPr>
          <w:trHeight w:val="655" w:hRule="atLeast"/>
        </w:trPr>
        <w:tc>
          <w:tcPr>
            <w:tcW w:w="1113"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623"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专职教师人数</w:t>
            </w:r>
          </w:p>
        </w:tc>
        <w:tc>
          <w:tcPr>
            <w:tcW w:w="3402" w:type="dxa"/>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职称情况</w:t>
            </w:r>
          </w:p>
        </w:tc>
        <w:tc>
          <w:tcPr>
            <w:tcW w:w="3252" w:type="dxa"/>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113"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p>
        </w:tc>
        <w:tc>
          <w:tcPr>
            <w:tcW w:w="623"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硕士生人数</w:t>
            </w:r>
          </w:p>
        </w:tc>
        <w:tc>
          <w:tcPr>
            <w:tcW w:w="54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本科人数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大专人数</w:t>
            </w:r>
          </w:p>
        </w:tc>
        <w:tc>
          <w:tcPr>
            <w:tcW w:w="56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大专以下人数</w:t>
            </w:r>
          </w:p>
        </w:tc>
      </w:tr>
      <w:tr>
        <w:tblPrEx>
          <w:tblCellMar>
            <w:top w:w="0" w:type="dxa"/>
            <w:left w:w="108" w:type="dxa"/>
            <w:bottom w:w="0" w:type="dxa"/>
            <w:right w:w="108" w:type="dxa"/>
          </w:tblCellMar>
        </w:tblPrEx>
        <w:trPr>
          <w:trHeight w:val="502" w:hRule="atLeast"/>
        </w:trPr>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校本部</w:t>
            </w:r>
          </w:p>
        </w:tc>
        <w:tc>
          <w:tcPr>
            <w:tcW w:w="62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77</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39</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29</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65</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r>
      <w:tr>
        <w:tblPrEx>
          <w:tblCellMar>
            <w:top w:w="0" w:type="dxa"/>
            <w:left w:w="108" w:type="dxa"/>
            <w:bottom w:w="0" w:type="dxa"/>
            <w:right w:w="108" w:type="dxa"/>
          </w:tblCellMar>
        </w:tblPrEx>
        <w:trPr>
          <w:trHeight w:val="560" w:hRule="atLeast"/>
        </w:trPr>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所辖教学点汇总</w:t>
            </w:r>
          </w:p>
        </w:tc>
        <w:tc>
          <w:tcPr>
            <w:tcW w:w="62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7</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2</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4</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7</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outlineLvl w:val="0"/>
        <w:rPr>
          <w:rFonts w:hint="eastAsia" w:ascii="楷体" w:hAnsi="楷体" w:eastAsia="楷体" w:cs="楷体"/>
          <w:b/>
          <w:bCs/>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四、科学研究和特色创新</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（一）科学研究</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出台《萍乡市分校</w:t>
      </w:r>
      <w:r>
        <w:rPr>
          <w:rFonts w:hint="eastAsia" w:ascii="仿宋" w:hAnsi="仿宋" w:eastAsia="仿宋" w:cs="仿宋"/>
          <w:color w:val="auto"/>
          <w:sz w:val="32"/>
          <w:szCs w:val="32"/>
          <w:highlight w:val="none"/>
        </w:rPr>
        <w:t>教学和科研成果奖励办法</w:t>
      </w:r>
      <w:r>
        <w:rPr>
          <w:rFonts w:hint="eastAsia" w:ascii="仿宋" w:hAnsi="仿宋" w:eastAsia="仿宋" w:cs="仿宋"/>
          <w:color w:val="auto"/>
          <w:sz w:val="32"/>
          <w:szCs w:val="32"/>
          <w:highlight w:val="none"/>
          <w:lang w:eastAsia="zh-CN"/>
        </w:rPr>
        <w:t>》，安排专人负责科研工作，积极开展学术研究。宋福坚主持的课题《</w:t>
      </w:r>
      <w:r>
        <w:rPr>
          <w:rFonts w:hint="eastAsia" w:ascii="仿宋" w:hAnsi="仿宋" w:eastAsia="仿宋" w:cs="仿宋"/>
          <w:color w:val="auto"/>
          <w:sz w:val="32"/>
          <w:szCs w:val="32"/>
          <w:highlight w:val="none"/>
          <w:lang w:val="en-US" w:eastAsia="zh-CN"/>
        </w:rPr>
        <w:t>继续教育“立德树人”机制研究—以师德师风教育为例</w:t>
      </w:r>
      <w:r>
        <w:rPr>
          <w:rFonts w:hint="eastAsia" w:ascii="仿宋" w:hAnsi="仿宋" w:eastAsia="仿宋" w:cs="仿宋"/>
          <w:color w:val="auto"/>
          <w:sz w:val="32"/>
          <w:szCs w:val="32"/>
          <w:highlight w:val="none"/>
          <w:lang w:eastAsia="zh-CN"/>
        </w:rPr>
        <w:t>》、蒋健萍主持的课题《</w:t>
      </w:r>
      <w:r>
        <w:rPr>
          <w:rFonts w:hint="eastAsia" w:ascii="仿宋" w:hAnsi="仿宋" w:eastAsia="仿宋" w:cs="仿宋"/>
          <w:color w:val="auto"/>
          <w:sz w:val="32"/>
          <w:szCs w:val="32"/>
          <w:highlight w:val="none"/>
          <w:lang w:val="en-US" w:eastAsia="zh-CN"/>
        </w:rPr>
        <w:t>“互联网+”时代成人高等教育教学模式探究—以电大开放教育为例</w:t>
      </w:r>
      <w:r>
        <w:rPr>
          <w:rFonts w:hint="eastAsia" w:ascii="仿宋" w:hAnsi="仿宋" w:eastAsia="仿宋" w:cs="仿宋"/>
          <w:color w:val="auto"/>
          <w:sz w:val="32"/>
          <w:szCs w:val="32"/>
          <w:highlight w:val="none"/>
          <w:lang w:eastAsia="zh-CN"/>
        </w:rPr>
        <w:t>》获</w:t>
      </w:r>
      <w:r>
        <w:rPr>
          <w:rFonts w:hint="eastAsia" w:ascii="仿宋" w:hAnsi="仿宋" w:eastAsia="仿宋" w:cs="仿宋"/>
          <w:color w:val="auto"/>
          <w:sz w:val="32"/>
          <w:szCs w:val="32"/>
          <w:highlight w:val="none"/>
          <w:lang w:val="en-US" w:eastAsia="zh-CN"/>
        </w:rPr>
        <w:t>省校</w:t>
      </w:r>
      <w:r>
        <w:rPr>
          <w:rFonts w:hint="eastAsia" w:ascii="仿宋" w:hAnsi="仿宋" w:eastAsia="仿宋" w:cs="仿宋"/>
          <w:color w:val="auto"/>
          <w:sz w:val="32"/>
          <w:szCs w:val="32"/>
          <w:highlight w:val="none"/>
          <w:lang w:eastAsia="zh-CN"/>
        </w:rPr>
        <w:t>立项，雷登科被聘任为</w:t>
      </w:r>
      <w:r>
        <w:rPr>
          <w:rFonts w:hint="eastAsia" w:ascii="仿宋" w:hAnsi="仿宋" w:eastAsia="仿宋" w:cs="仿宋"/>
          <w:color w:val="auto"/>
          <w:sz w:val="32"/>
          <w:szCs w:val="32"/>
          <w:highlight w:val="none"/>
          <w:lang w:val="en-US" w:eastAsia="zh-CN"/>
        </w:rPr>
        <w:t>省校</w:t>
      </w:r>
      <w:r>
        <w:rPr>
          <w:rFonts w:hint="eastAsia" w:ascii="仿宋" w:hAnsi="仿宋" w:eastAsia="仿宋" w:cs="仿宋"/>
          <w:color w:val="auto"/>
          <w:sz w:val="32"/>
          <w:szCs w:val="32"/>
          <w:highlight w:val="none"/>
          <w:lang w:eastAsia="zh-CN"/>
        </w:rPr>
        <w:t>第一届学术委员会委员，魏清的论文《克拉申“监控理论”与我国英语教学的背诵策略分析》在《中国教育学刊》上发表，刘小梅、李铁华的论文《网络教学模式下计算机教育教学改革的探讨》在《信息化教学》上发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（二）特色创新</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教学管理和支持服务持续优化。一是实施全校全员招生，杜绝中介招生，把学生的管理权掌握在自己手中，为教学改革奠定基础。二是保障正常的线上和线下教学活动，特别是线下教学活动，以大班制开展课程教学，通过实施签名考核机制，有效督促学生参加。三是实行专职班主任工作机制，大量外聘专职班主任，压实工作责任，为学生提供全程优质服务。四是加强直播课程，优化线上教学辅导和答疑。五是强化考试过程，加强三证检查，杜绝有组织代考。六是提升毕业实践环节，落实本、专科毕业论文和实践指导流程，推进全员毕业答辩机制，强化出口管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高职扩招职业技能培训基地推陈出新。为使实习、实训基地具有真实职业氛围，力求实现与工作岗位的零距离对接，依托龚全珍师德教育学院基地和已建立的一村一实习实训基地，积极对接市内相关单位，2020年新建2个实践基地，满足高职扩招各专业学员职业发展需求。</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3.积极探索双轨制教学。将会计专科学生的基础会计、中级财务会计等课程结合职称考试教材进行双轨试点教学，进一步提升教学与学生需求市场接轨，受到学生的欢迎。</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合作开办中职学校。2020年与南昌市诚恩学堂合作创办萍乡广播电视大学职业中等职业学校，开设机电技术应用、计算机、计算机应用、播音与节目主持、舞蹈表演、音乐、工艺美术、高铁乘务等专业，招收学生612人。实行以能力为本位、以职业实践为动力、以项目课程为主线的模块化专业课程体系，实践“职继融合”精神，为学校转型升级奠定基础。</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5.师德教育培训独树一帜。2020年龚全珍师德教育学院成为教育部师德师风建设基地江西基地成员单位之一。办学以来先后培训国家开放大学、东华理工大学、广东省顺德市教育局等50余期5000余名学员。</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3" w:firstLineChars="200"/>
        <w:jc w:val="both"/>
        <w:textAlignment w:val="auto"/>
        <w:outlineLvl w:val="0"/>
        <w:rPr>
          <w:rFonts w:hint="default"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bCs/>
          <w:color w:val="auto"/>
          <w:kern w:val="2"/>
          <w:sz w:val="32"/>
          <w:szCs w:val="32"/>
          <w:highlight w:val="none"/>
          <w:lang w:val="en-US" w:eastAsia="zh-CN" w:bidi="ar-SA"/>
        </w:rPr>
        <w:t>五</w:t>
      </w:r>
      <w:r>
        <w:rPr>
          <w:rFonts w:hint="eastAsia" w:ascii="黑体" w:hAnsi="黑体" w:eastAsia="黑体" w:cs="黑体"/>
          <w:b w:val="0"/>
          <w:bCs w:val="0"/>
          <w:color w:val="auto"/>
          <w:kern w:val="2"/>
          <w:sz w:val="32"/>
          <w:szCs w:val="32"/>
          <w:highlight w:val="none"/>
          <w:lang w:val="en-US" w:eastAsia="zh-CN" w:bidi="ar-SA"/>
        </w:rPr>
        <w:t>、社会服务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（一）服务地方经济社会发展与学习型社会建设情况</w:t>
      </w:r>
    </w:p>
    <w:p>
      <w:pPr>
        <w:keepNext w:val="0"/>
        <w:keepLines w:val="0"/>
        <w:pageBreakBefore w:val="0"/>
        <w:widowControl w:val="0"/>
        <w:kinsoku/>
        <w:wordWrap/>
        <w:overflowPunct/>
        <w:topLinePunct w:val="0"/>
        <w:autoSpaceDE/>
        <w:autoSpaceDN/>
        <w:bidi w:val="0"/>
        <w:spacing w:line="576" w:lineRule="exact"/>
        <w:ind w:firstLine="640" w:firstLineChars="200"/>
        <w:jc w:val="both"/>
        <w:textAlignment w:val="auto"/>
        <w:rPr>
          <w:rFonts w:hint="eastAsia"/>
          <w:color w:val="auto"/>
          <w:highlight w:val="none"/>
          <w:lang w:val="en-US" w:eastAsia="zh-CN"/>
        </w:rPr>
      </w:pPr>
      <w:r>
        <w:rPr>
          <w:rFonts w:hint="eastAsia" w:ascii="仿宋" w:hAnsi="仿宋" w:eastAsia="仿宋" w:cs="仿宋"/>
          <w:b w:val="0"/>
          <w:bCs w:val="0"/>
          <w:color w:val="auto"/>
          <w:sz w:val="32"/>
          <w:szCs w:val="32"/>
          <w:highlight w:val="none"/>
        </w:rPr>
        <w:t>1.农业人才培养</w:t>
      </w:r>
      <w:r>
        <w:rPr>
          <w:rFonts w:hint="eastAsia" w:ascii="仿宋" w:hAnsi="仿宋" w:eastAsia="仿宋" w:cs="仿宋"/>
          <w:b w:val="0"/>
          <w:bCs w:val="0"/>
          <w:color w:val="auto"/>
          <w:sz w:val="32"/>
          <w:szCs w:val="32"/>
          <w:highlight w:val="none"/>
          <w:lang w:val="en-US" w:eastAsia="zh-CN"/>
        </w:rPr>
        <w:t>成效显著</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Cs/>
          <w:color w:val="auto"/>
          <w:sz w:val="32"/>
          <w:szCs w:val="32"/>
          <w:highlight w:val="none"/>
          <w:lang w:val="en-US" w:eastAsia="zh-CN"/>
        </w:rPr>
        <w:t>2020年</w:t>
      </w:r>
      <w:r>
        <w:rPr>
          <w:rFonts w:hint="eastAsia" w:ascii="仿宋" w:hAnsi="仿宋" w:eastAsia="仿宋" w:cs="仿宋"/>
          <w:bCs/>
          <w:color w:val="auto"/>
          <w:sz w:val="32"/>
          <w:szCs w:val="32"/>
          <w:highlight w:val="none"/>
        </w:rPr>
        <w:t>在第六届中国国际“互联网+”大学生创新创业大赛中，选送的</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石城洞休闲观光园》项目获</w:t>
      </w:r>
      <w:r>
        <w:rPr>
          <w:rFonts w:hint="eastAsia" w:ascii="仿宋" w:hAnsi="仿宋" w:eastAsia="仿宋" w:cs="仿宋"/>
          <w:bCs/>
          <w:color w:val="auto"/>
          <w:sz w:val="32"/>
          <w:szCs w:val="32"/>
          <w:highlight w:val="none"/>
          <w:lang w:val="en-US" w:eastAsia="zh-CN"/>
        </w:rPr>
        <w:t>全省系统</w:t>
      </w:r>
      <w:r>
        <w:rPr>
          <w:rFonts w:hint="eastAsia" w:ascii="仿宋" w:hAnsi="仿宋" w:eastAsia="仿宋" w:cs="仿宋"/>
          <w:bCs/>
          <w:color w:val="auto"/>
          <w:sz w:val="32"/>
          <w:szCs w:val="32"/>
          <w:highlight w:val="none"/>
        </w:rPr>
        <w:t>三等奖。</w:t>
      </w:r>
      <w:r>
        <w:rPr>
          <w:rFonts w:hint="eastAsia" w:ascii="仿宋" w:hAnsi="仿宋" w:eastAsia="仿宋" w:cs="仿宋"/>
          <w:color w:val="auto"/>
          <w:sz w:val="32"/>
          <w:szCs w:val="32"/>
          <w:highlight w:val="none"/>
          <w:lang w:val="en-US" w:eastAsia="zh-CN"/>
        </w:rPr>
        <w:t>8位学员获全省系统“一村一名大学生”优秀毕业生。</w:t>
      </w:r>
    </w:p>
    <w:p>
      <w:pPr>
        <w:pStyle w:val="2"/>
        <w:keepNext w:val="0"/>
        <w:keepLines w:val="0"/>
        <w:pageBreakBefore w:val="0"/>
        <w:widowControl w:val="0"/>
        <w:kinsoku/>
        <w:wordWrap/>
        <w:overflowPunct/>
        <w:topLinePunct w:val="0"/>
        <w:autoSpaceDE/>
        <w:autoSpaceDN/>
        <w:bidi w:val="0"/>
        <w:spacing w:after="0" w:line="576" w:lineRule="exact"/>
        <w:ind w:firstLine="640" w:firstLineChars="2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2.社区教育实现整合式发展。与藕塘边社区共建“鳌州大讲堂”，整合社区内学校教育资源，共建家长学校，开设声乐培训班和舞蹈班；发挥青少年科技教育协会的作用，在第35届全国青少年科技创新大赛中获奖人数、获奖层次等远超去年，并成功举办第六届全国青少年创意编程与智能设计大赛萍乡选拔赛。</w:t>
      </w:r>
    </w:p>
    <w:p>
      <w:pPr>
        <w:pStyle w:val="2"/>
        <w:keepNext w:val="0"/>
        <w:keepLines w:val="0"/>
        <w:pageBreakBefore w:val="0"/>
        <w:widowControl w:val="0"/>
        <w:kinsoku/>
        <w:wordWrap/>
        <w:overflowPunct/>
        <w:topLinePunct w:val="0"/>
        <w:autoSpaceDE/>
        <w:autoSpaceDN/>
        <w:bidi w:val="0"/>
        <w:spacing w:after="0" w:line="576" w:lineRule="exact"/>
        <w:ind w:firstLine="640" w:firstLineChars="2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3.职业培训领域得到拓宽发展。2020年发挥系统办学优势，加大与市直事业单位合作，对外培训保育员、养老护理员、快递小哥、旅游咨询员和安保人员等从业人员</w:t>
      </w:r>
      <w:r>
        <w:rPr>
          <w:rFonts w:hint="eastAsia" w:ascii="仿宋" w:hAnsi="仿宋" w:eastAsia="仿宋" w:cs="仿宋"/>
          <w:b w:val="0"/>
          <w:bCs w:val="0"/>
          <w:color w:val="auto"/>
          <w:sz w:val="32"/>
          <w:szCs w:val="32"/>
          <w:highlight w:val="none"/>
          <w:lang w:val="en-US" w:eastAsia="zh-CN"/>
        </w:rPr>
        <w:t>4000</w:t>
      </w:r>
      <w:r>
        <w:rPr>
          <w:rFonts w:hint="eastAsia" w:ascii="仿宋" w:hAnsi="仿宋" w:eastAsia="仿宋" w:cs="仿宋"/>
          <w:b w:val="0"/>
          <w:bCs w:val="0"/>
          <w:color w:val="auto"/>
          <w:sz w:val="32"/>
          <w:szCs w:val="32"/>
          <w:highlight w:val="none"/>
        </w:rPr>
        <w:t>余人次，</w:t>
      </w:r>
      <w:r>
        <w:rPr>
          <w:rFonts w:hint="eastAsia" w:ascii="仿宋" w:hAnsi="仿宋" w:eastAsia="仿宋" w:cs="仿宋"/>
          <w:bCs/>
          <w:color w:val="auto"/>
          <w:sz w:val="32"/>
          <w:szCs w:val="32"/>
          <w:highlight w:val="none"/>
        </w:rPr>
        <w:t>与市普通话测试中心合作，对全市4500余人开展普通话测试考试工作</w:t>
      </w:r>
      <w:r>
        <w:rPr>
          <w:rFonts w:hint="eastAsia" w:ascii="仿宋" w:hAnsi="仿宋" w:eastAsia="仿宋" w:cs="仿宋"/>
          <w:b w:val="0"/>
          <w:bCs w:val="0"/>
          <w:color w:val="auto"/>
          <w:kern w:val="2"/>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（二）对口支援、教育帮扶情况</w:t>
      </w:r>
    </w:p>
    <w:p>
      <w:pPr>
        <w:keepNext w:val="0"/>
        <w:keepLines w:val="0"/>
        <w:pageBreakBefore w:val="0"/>
        <w:widowControl w:val="0"/>
        <w:numPr>
          <w:ilvl w:val="0"/>
          <w:numId w:val="0"/>
        </w:numPr>
        <w:kinsoku/>
        <w:wordWrap/>
        <w:overflowPunct/>
        <w:topLinePunct w:val="0"/>
        <w:autoSpaceDE/>
        <w:autoSpaceDN/>
        <w:bidi w:val="0"/>
        <w:spacing w:line="576" w:lineRule="exact"/>
        <w:ind w:firstLine="640" w:firstLineChars="200"/>
        <w:textAlignment w:val="auto"/>
        <w:rPr>
          <w:rFonts w:hint="eastAsia" w:eastAsia="仿宋"/>
          <w:color w:val="auto"/>
          <w:sz w:val="32"/>
          <w:szCs w:val="28"/>
          <w:highlight w:val="none"/>
          <w:lang w:eastAsia="zh-CN"/>
        </w:rPr>
      </w:pPr>
      <w:r>
        <w:rPr>
          <w:rFonts w:hint="eastAsia" w:ascii="仿宋" w:hAnsi="仿宋" w:eastAsia="仿宋"/>
          <w:color w:val="auto"/>
          <w:sz w:val="32"/>
          <w:highlight w:val="none"/>
        </w:rPr>
        <w:t>2020年</w:t>
      </w:r>
      <w:r>
        <w:rPr>
          <w:rFonts w:hint="eastAsia" w:ascii="仿宋" w:hAnsi="仿宋" w:eastAsia="仿宋"/>
          <w:color w:val="auto"/>
          <w:sz w:val="32"/>
          <w:highlight w:val="none"/>
          <w:lang w:val="en-US" w:eastAsia="zh-CN"/>
        </w:rPr>
        <w:t>派遣</w:t>
      </w:r>
      <w:r>
        <w:rPr>
          <w:rFonts w:hint="eastAsia" w:ascii="仿宋" w:hAnsi="仿宋" w:eastAsia="仿宋"/>
          <w:color w:val="auto"/>
          <w:sz w:val="32"/>
          <w:highlight w:val="none"/>
        </w:rPr>
        <w:t>周小敏同志任上栗县鸡冠山乡石上村驻村工作队员，</w:t>
      </w:r>
      <w:r>
        <w:rPr>
          <w:rFonts w:hint="eastAsia" w:ascii="仿宋" w:hAnsi="仿宋" w:eastAsia="仿宋"/>
          <w:color w:val="auto"/>
          <w:sz w:val="32"/>
          <w:highlight w:val="none"/>
          <w:lang w:val="en-US" w:eastAsia="zh-CN"/>
        </w:rPr>
        <w:t>并</w:t>
      </w:r>
      <w:r>
        <w:rPr>
          <w:rFonts w:hint="eastAsia" w:ascii="仿宋" w:hAnsi="仿宋" w:eastAsia="仿宋"/>
          <w:color w:val="auto"/>
          <w:sz w:val="32"/>
          <w:highlight w:val="none"/>
        </w:rPr>
        <w:t>在原有基础上翻倍投入资金用于扶贫工作，基本解决鸡冠山乡石上村和福田跃星村贫困户的生活与住房保障问题，帮助鸡冠山乡石上村落实教育</w:t>
      </w:r>
      <w:r>
        <w:rPr>
          <w:rFonts w:hint="eastAsia" w:ascii="仿宋" w:hAnsi="仿宋" w:eastAsia="仿宋"/>
          <w:color w:val="auto"/>
          <w:sz w:val="32"/>
          <w:highlight w:val="none"/>
          <w:lang w:eastAsia="zh-CN"/>
        </w:rPr>
        <w:t>扶贫</w:t>
      </w:r>
      <w:r>
        <w:rPr>
          <w:rFonts w:hint="eastAsia" w:ascii="仿宋" w:hAnsi="仿宋" w:eastAsia="仿宋"/>
          <w:color w:val="auto"/>
          <w:sz w:val="32"/>
          <w:highlight w:val="none"/>
        </w:rPr>
        <w:t>、产业扶贫等政策。鸡冠山石上村驻村工作队被评为2019年度全市优秀驻村工作队，</w:t>
      </w:r>
      <w:r>
        <w:rPr>
          <w:rFonts w:hint="eastAsia" w:ascii="仿宋" w:hAnsi="仿宋" w:eastAsia="仿宋"/>
          <w:color w:val="auto"/>
          <w:sz w:val="32"/>
          <w:highlight w:val="none"/>
          <w:lang w:val="en-US" w:eastAsia="zh-CN"/>
        </w:rPr>
        <w:t>学校</w:t>
      </w:r>
      <w:r>
        <w:rPr>
          <w:rFonts w:hint="eastAsia" w:ascii="仿宋" w:hAnsi="仿宋" w:eastAsia="仿宋"/>
          <w:color w:val="auto"/>
          <w:sz w:val="32"/>
          <w:highlight w:val="none"/>
        </w:rPr>
        <w:t>驻福田镇大宇村原驻村工作队员卜运其被评为2019年度优秀工作队员</w:t>
      </w:r>
      <w:r>
        <w:rPr>
          <w:rFonts w:hint="eastAsia" w:ascii="仿宋" w:hAnsi="仿宋" w:eastAsia="仿宋"/>
          <w:color w:val="auto"/>
          <w:sz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（三）学校资源面向校内、社会开放服务情况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仿宋" w:hAnsi="仿宋" w:eastAsia="仿宋" w:cs="宋体"/>
          <w:strike w:val="0"/>
          <w:dstrike w:val="0"/>
          <w:color w:val="auto"/>
          <w:kern w:val="0"/>
          <w:sz w:val="32"/>
          <w:szCs w:val="32"/>
          <w:highlight w:val="none"/>
          <w:lang w:val="en-US" w:eastAsia="zh-CN"/>
        </w:rPr>
      </w:pPr>
      <w:r>
        <w:rPr>
          <w:rFonts w:hint="eastAsia" w:ascii="仿宋" w:hAnsi="仿宋" w:eastAsia="仿宋" w:cs="宋体"/>
          <w:strike w:val="0"/>
          <w:dstrike w:val="0"/>
          <w:color w:val="auto"/>
          <w:kern w:val="0"/>
          <w:sz w:val="32"/>
          <w:szCs w:val="32"/>
          <w:highlight w:val="none"/>
          <w:lang w:val="en-US" w:eastAsia="zh-CN"/>
        </w:rPr>
        <w:t>致力于将教育资源面向社会开放，现为社区教育声乐班、“鳌州大讲堂”、萍乡市“真爱惠普助力圆梦”捐赠仪式等免费提供教学场地和教学设备。</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576" w:lineRule="exact"/>
        <w:ind w:firstLine="640" w:firstLineChars="200"/>
        <w:jc w:val="both"/>
        <w:textAlignment w:val="auto"/>
        <w:outlineLvl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年度办学业务考评</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default" w:ascii="黑体" w:hAnsi="黑体" w:eastAsia="黑体" w:cs="黑体"/>
          <w:color w:val="auto"/>
          <w:sz w:val="32"/>
          <w:szCs w:val="32"/>
          <w:highlight w:val="none"/>
          <w:lang w:val="en-US" w:eastAsia="zh-CN"/>
        </w:rPr>
      </w:pPr>
      <w:r>
        <w:rPr>
          <w:rFonts w:hint="eastAsia" w:ascii="仿宋" w:hAnsi="仿宋" w:eastAsia="仿宋" w:cs="仿宋"/>
          <w:color w:val="auto"/>
          <w:kern w:val="0"/>
          <w:sz w:val="28"/>
          <w:szCs w:val="28"/>
          <w:highlight w:val="none"/>
          <w:lang w:val="en-US" w:eastAsia="zh-CN"/>
        </w:rPr>
        <w:t>表6 2020年度办学业务考评项目得分与排名</w:t>
      </w:r>
    </w:p>
    <w:tbl>
      <w:tblPr>
        <w:tblStyle w:val="5"/>
        <w:tblW w:w="7680" w:type="dxa"/>
        <w:jc w:val="center"/>
        <w:shd w:val="clear" w:color="auto" w:fill="auto"/>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shd w:val="clear" w:color="auto" w:fill="auto"/>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办学定位和</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影响  </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体系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建设</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工作</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思政教育与学生管理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教学资源建设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教学过程管理   22分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教务管理16分</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15</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r>
    </w:tbl>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p>
    <w:tbl>
      <w:tblPr>
        <w:tblStyle w:val="5"/>
        <w:tblW w:w="7680" w:type="dxa"/>
        <w:jc w:val="center"/>
        <w:shd w:val="clear" w:color="auto" w:fill="auto"/>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教育教学经费管理 </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科学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研究</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3分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非学历  教育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信息化  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奖励加分最高累计</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惩处</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扣分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业务考核总计</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84.9</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outlineLvl w:val="0"/>
        <w:rPr>
          <w:rFonts w:hint="default" w:ascii="黑体" w:hAnsi="黑体" w:eastAsia="黑体" w:cs="黑体"/>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七</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lang w:val="en-US" w:eastAsia="zh-CN"/>
        </w:rPr>
        <w:t>存在的问题</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转型发展步伐</w:t>
      </w:r>
      <w:r>
        <w:rPr>
          <w:rFonts w:hint="eastAsia" w:ascii="仿宋" w:hAnsi="仿宋" w:eastAsia="仿宋" w:cs="仿宋"/>
          <w:color w:val="auto"/>
          <w:sz w:val="32"/>
          <w:szCs w:val="32"/>
          <w:highlight w:val="none"/>
          <w:lang w:eastAsia="zh-CN"/>
        </w:rPr>
        <w:t>还要加快，要不断加强全体教职员工的机遇意识、创新意识、质量意识和当担意识，全员参与到学校转型发展的快车道上来。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治乱提质创优要进一步深化</w:t>
      </w:r>
      <w:r>
        <w:rPr>
          <w:rFonts w:hint="eastAsia" w:ascii="仿宋" w:hAnsi="仿宋" w:eastAsia="仿宋" w:cs="仿宋"/>
          <w:color w:val="auto"/>
          <w:sz w:val="32"/>
          <w:szCs w:val="32"/>
          <w:highlight w:val="none"/>
          <w:lang w:eastAsia="zh-CN"/>
        </w:rPr>
        <w:t>，要</w:t>
      </w:r>
      <w:r>
        <w:rPr>
          <w:rFonts w:hint="eastAsia" w:ascii="仿宋" w:hAnsi="仿宋" w:eastAsia="仿宋" w:cs="仿宋"/>
          <w:color w:val="auto"/>
          <w:sz w:val="32"/>
          <w:szCs w:val="32"/>
          <w:highlight w:val="none"/>
          <w:lang w:val="en-US" w:eastAsia="zh-CN"/>
        </w:rPr>
        <w:t>继续</w:t>
      </w:r>
      <w:r>
        <w:rPr>
          <w:rFonts w:hint="eastAsia" w:ascii="仿宋" w:hAnsi="仿宋" w:eastAsia="仿宋" w:cs="仿宋"/>
          <w:color w:val="auto"/>
          <w:sz w:val="32"/>
          <w:szCs w:val="32"/>
          <w:highlight w:val="none"/>
          <w:lang w:eastAsia="zh-CN"/>
        </w:rPr>
        <w:t>深入贯彻落实国家开放大学和省</w:t>
      </w:r>
      <w:r>
        <w:rPr>
          <w:rFonts w:hint="eastAsia" w:ascii="仿宋" w:hAnsi="仿宋" w:eastAsia="仿宋" w:cs="仿宋"/>
          <w:color w:val="auto"/>
          <w:sz w:val="32"/>
          <w:szCs w:val="32"/>
          <w:highlight w:val="none"/>
          <w:lang w:val="en-US" w:eastAsia="zh-CN"/>
        </w:rPr>
        <w:t>校</w:t>
      </w:r>
      <w:r>
        <w:rPr>
          <w:rFonts w:hint="eastAsia" w:ascii="仿宋" w:hAnsi="仿宋" w:eastAsia="仿宋" w:cs="仿宋"/>
          <w:color w:val="auto"/>
          <w:sz w:val="32"/>
          <w:szCs w:val="32"/>
          <w:highlight w:val="none"/>
          <w:lang w:eastAsia="zh-CN"/>
        </w:rPr>
        <w:t>的文件精神，将各项工作落到实处，产生实实在在看得见的效果。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师资队伍建设</w:t>
      </w:r>
      <w:r>
        <w:rPr>
          <w:rFonts w:hint="eastAsia" w:ascii="仿宋" w:hAnsi="仿宋" w:eastAsia="仿宋" w:cs="仿宋"/>
          <w:color w:val="auto"/>
          <w:sz w:val="32"/>
          <w:szCs w:val="32"/>
          <w:highlight w:val="none"/>
          <w:lang w:eastAsia="zh-CN"/>
        </w:rPr>
        <w:t>要</w:t>
      </w:r>
      <w:r>
        <w:rPr>
          <w:rFonts w:hint="eastAsia" w:ascii="仿宋" w:hAnsi="仿宋" w:eastAsia="仿宋" w:cs="仿宋"/>
          <w:color w:val="auto"/>
          <w:sz w:val="32"/>
          <w:szCs w:val="32"/>
          <w:highlight w:val="none"/>
        </w:rPr>
        <w:t>进一步加强，</w:t>
      </w:r>
      <w:r>
        <w:rPr>
          <w:rFonts w:hint="eastAsia" w:ascii="仿宋" w:hAnsi="仿宋" w:eastAsia="仿宋" w:cs="仿宋"/>
          <w:color w:val="auto"/>
          <w:sz w:val="32"/>
          <w:szCs w:val="32"/>
          <w:highlight w:val="none"/>
          <w:lang w:eastAsia="zh-CN"/>
        </w:rPr>
        <w:t>要</w:t>
      </w:r>
      <w:r>
        <w:rPr>
          <w:rFonts w:hint="eastAsia" w:ascii="仿宋" w:hAnsi="仿宋" w:eastAsia="仿宋" w:cs="仿宋"/>
          <w:color w:val="auto"/>
          <w:sz w:val="32"/>
          <w:szCs w:val="32"/>
          <w:highlight w:val="none"/>
        </w:rPr>
        <w:t>解决干部队伍年龄断层问题。</w:t>
      </w:r>
      <w:r>
        <w:rPr>
          <w:rFonts w:hint="eastAsia" w:ascii="仿宋" w:hAnsi="仿宋" w:eastAsia="仿宋" w:cs="仿宋"/>
          <w:color w:val="auto"/>
          <w:sz w:val="32"/>
          <w:szCs w:val="32"/>
          <w:highlight w:val="none"/>
          <w:lang w:eastAsia="zh-CN"/>
        </w:rPr>
        <w:t>学校历年来编制少、人员紧，成为了制约学校发展的瓶颈之一，引进高层次人才充实教师队伍，将人员编制进行合理规划与部署将是队伍建设</w:t>
      </w:r>
      <w:r>
        <w:rPr>
          <w:rFonts w:hint="eastAsia" w:ascii="仿宋" w:hAnsi="仿宋" w:eastAsia="仿宋" w:cs="仿宋"/>
          <w:color w:val="auto"/>
          <w:sz w:val="32"/>
          <w:szCs w:val="32"/>
          <w:highlight w:val="none"/>
          <w:lang w:val="en-US" w:eastAsia="zh-CN"/>
        </w:rPr>
        <w:t>中</w:t>
      </w:r>
      <w:r>
        <w:rPr>
          <w:rFonts w:hint="eastAsia" w:ascii="仿宋" w:hAnsi="仿宋" w:eastAsia="仿宋" w:cs="仿宋"/>
          <w:color w:val="auto"/>
          <w:sz w:val="32"/>
          <w:szCs w:val="32"/>
          <w:highlight w:val="none"/>
          <w:lang w:eastAsia="zh-CN"/>
        </w:rPr>
        <w:t>的一项重要工作。</w:t>
      </w:r>
    </w:p>
    <w:p>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left"/>
        <w:textAlignment w:val="auto"/>
        <w:rPr>
          <w:color w:val="auto"/>
          <w:highlight w:val="none"/>
        </w:rPr>
      </w:pPr>
      <w:r>
        <w:rPr>
          <w:rFonts w:hint="eastAsia" w:ascii="仿宋" w:hAnsi="仿宋" w:eastAsia="仿宋" w:cs="仿宋"/>
          <w:color w:val="auto"/>
          <w:sz w:val="32"/>
          <w:szCs w:val="32"/>
          <w:highlight w:val="none"/>
          <w:lang w:val="en-US" w:eastAsia="zh-CN"/>
        </w:rPr>
        <w:t>4.成人高考办学工作推进力度不够，要探索成人高等教育发展新途径，开拓办学市场，举办省校</w:t>
      </w:r>
      <w:r>
        <w:rPr>
          <w:rFonts w:ascii="仿宋" w:hAnsi="仿宋" w:eastAsia="仿宋" w:cs="仿宋"/>
          <w:color w:val="auto"/>
          <w:kern w:val="0"/>
          <w:sz w:val="31"/>
          <w:szCs w:val="31"/>
          <w:highlight w:val="none"/>
          <w:lang w:val="en-US" w:eastAsia="zh-CN" w:bidi="ar"/>
        </w:rPr>
        <w:t>成人高等教育</w:t>
      </w:r>
      <w:r>
        <w:rPr>
          <w:rFonts w:hint="eastAsia" w:ascii="仿宋" w:hAnsi="仿宋" w:eastAsia="仿宋" w:cs="仿宋"/>
          <w:color w:val="auto"/>
          <w:kern w:val="0"/>
          <w:sz w:val="31"/>
          <w:szCs w:val="31"/>
          <w:highlight w:val="none"/>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jc w:val="both"/>
        <w:textAlignment w:val="auto"/>
        <w:outlineLvl w:val="0"/>
        <w:rPr>
          <w:rFonts w:hint="default" w:ascii="黑体" w:hAnsi="黑体" w:eastAsia="黑体" w:cs="黑体"/>
          <w:color w:val="auto"/>
          <w:kern w:val="2"/>
          <w:sz w:val="32"/>
          <w:szCs w:val="32"/>
          <w:highlight w:val="none"/>
          <w:lang w:val="en-US" w:eastAsia="zh-CN" w:bidi="ar-SA"/>
        </w:rPr>
      </w:pPr>
      <w:r>
        <w:rPr>
          <w:rFonts w:hint="eastAsia" w:ascii="黑体" w:hAnsi="黑体" w:eastAsia="黑体" w:cs="黑体"/>
          <w:color w:val="auto"/>
          <w:sz w:val="32"/>
          <w:szCs w:val="32"/>
          <w:highlight w:val="none"/>
          <w:lang w:val="en-US" w:eastAsia="zh-CN"/>
        </w:rPr>
        <w:t>八</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rPr>
        <w:t>对策建议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2021年</w:t>
      </w:r>
      <w:r>
        <w:rPr>
          <w:rFonts w:hint="eastAsia" w:ascii="仿宋" w:hAnsi="仿宋" w:eastAsia="仿宋" w:cs="仿宋"/>
          <w:color w:val="auto"/>
          <w:sz w:val="32"/>
          <w:szCs w:val="32"/>
          <w:highlight w:val="none"/>
          <w:lang w:val="en-US" w:eastAsia="zh-CN"/>
        </w:rPr>
        <w:t>要</w:t>
      </w:r>
      <w:r>
        <w:rPr>
          <w:rFonts w:hint="eastAsia" w:eastAsia="仿宋"/>
          <w:color w:val="auto"/>
          <w:sz w:val="32"/>
          <w:szCs w:val="30"/>
          <w:highlight w:val="none"/>
          <w:lang w:val="en-US" w:eastAsia="zh-CN"/>
        </w:rPr>
        <w:t>积极</w:t>
      </w:r>
      <w:r>
        <w:rPr>
          <w:rFonts w:hint="eastAsia" w:ascii="仿宋" w:hAnsi="仿宋" w:eastAsia="仿宋" w:cs="仿宋"/>
          <w:color w:val="auto"/>
          <w:sz w:val="32"/>
          <w:szCs w:val="32"/>
          <w:highlight w:val="none"/>
          <w:lang w:val="en"/>
        </w:rPr>
        <w:t>贯彻落实</w:t>
      </w:r>
      <w:r>
        <w:rPr>
          <w:rFonts w:hint="eastAsia" w:ascii="仿宋" w:hAnsi="仿宋" w:eastAsia="仿宋" w:cs="仿宋"/>
          <w:color w:val="auto"/>
          <w:sz w:val="32"/>
          <w:szCs w:val="32"/>
          <w:highlight w:val="none"/>
          <w:lang w:val="en" w:eastAsia="zh-CN"/>
        </w:rPr>
        <w:t>《</w:t>
      </w:r>
      <w:r>
        <w:rPr>
          <w:rFonts w:hint="eastAsia" w:ascii="仿宋" w:hAnsi="仿宋" w:eastAsia="仿宋" w:cs="仿宋"/>
          <w:bCs/>
          <w:color w:val="auto"/>
          <w:sz w:val="32"/>
          <w:szCs w:val="32"/>
          <w:highlight w:val="none"/>
          <w:lang w:val="en"/>
        </w:rPr>
        <w:t>教育部 江西省人民政府关于整省推进职业教育综合改革提质创优的意见</w:t>
      </w:r>
      <w:r>
        <w:rPr>
          <w:rFonts w:hint="eastAsia" w:ascii="仿宋" w:hAnsi="仿宋" w:eastAsia="仿宋" w:cs="仿宋"/>
          <w:color w:val="auto"/>
          <w:sz w:val="32"/>
          <w:szCs w:val="32"/>
          <w:highlight w:val="none"/>
          <w:lang w:val="en"/>
        </w:rPr>
        <w:t>》</w:t>
      </w:r>
      <w:r>
        <w:rPr>
          <w:rFonts w:hint="eastAsia" w:ascii="仿宋" w:hAnsi="仿宋" w:eastAsia="仿宋" w:cs="仿宋"/>
          <w:color w:val="auto"/>
          <w:sz w:val="32"/>
          <w:szCs w:val="32"/>
          <w:highlight w:val="none"/>
        </w:rPr>
        <w:t>和</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国家开放大学综合改革方案》精神，</w:t>
      </w:r>
      <w:r>
        <w:rPr>
          <w:rFonts w:hint="eastAsia" w:ascii="仿宋" w:hAnsi="仿宋" w:eastAsia="仿宋" w:cs="仿宋"/>
          <w:bCs/>
          <w:color w:val="auto"/>
          <w:sz w:val="32"/>
          <w:szCs w:val="32"/>
          <w:highlight w:val="none"/>
          <w:lang w:val="en"/>
        </w:rPr>
        <w:t>紧盯三个</w:t>
      </w:r>
      <w:r>
        <w:rPr>
          <w:rFonts w:hint="eastAsia" w:ascii="仿宋" w:hAnsi="仿宋" w:eastAsia="仿宋" w:cs="仿宋"/>
          <w:bCs/>
          <w:color w:val="auto"/>
          <w:sz w:val="32"/>
          <w:szCs w:val="32"/>
          <w:highlight w:val="none"/>
          <w:lang w:val="en" w:eastAsia="zh-CN"/>
        </w:rPr>
        <w:t>关键（抓</w:t>
      </w:r>
      <w:r>
        <w:rPr>
          <w:rFonts w:hint="eastAsia" w:ascii="仿宋" w:hAnsi="仿宋" w:eastAsia="仿宋" w:cs="仿宋"/>
          <w:color w:val="auto"/>
          <w:sz w:val="32"/>
          <w:szCs w:val="32"/>
          <w:highlight w:val="none"/>
          <w:lang w:eastAsia="zh-CN"/>
        </w:rPr>
        <w:t>作风促效益、抓契机促工作、抓管理创荣誉）</w:t>
      </w:r>
      <w:r>
        <w:rPr>
          <w:rFonts w:hint="eastAsia" w:ascii="仿宋" w:hAnsi="仿宋" w:eastAsia="仿宋" w:cs="仿宋"/>
          <w:color w:val="auto"/>
          <w:sz w:val="32"/>
          <w:szCs w:val="32"/>
          <w:highlight w:val="none"/>
        </w:rPr>
        <w:t>，进行四项建设</w:t>
      </w:r>
      <w:r>
        <w:rPr>
          <w:rFonts w:hint="eastAsia" w:ascii="仿宋" w:hAnsi="仿宋" w:eastAsia="仿宋" w:cs="仿宋"/>
          <w:color w:val="auto"/>
          <w:sz w:val="32"/>
          <w:szCs w:val="32"/>
          <w:highlight w:val="none"/>
          <w:lang w:eastAsia="zh-CN"/>
        </w:rPr>
        <w:t>（队伍建设、思政教育建设、课程建设、校园文化建设）</w:t>
      </w:r>
      <w:r>
        <w:rPr>
          <w:rFonts w:hint="eastAsia" w:ascii="仿宋" w:hAnsi="仿宋" w:eastAsia="仿宋" w:cs="仿宋"/>
          <w:color w:val="auto"/>
          <w:sz w:val="32"/>
          <w:szCs w:val="32"/>
          <w:highlight w:val="none"/>
        </w:rPr>
        <w:t>，突出五个重点</w:t>
      </w:r>
      <w:r>
        <w:rPr>
          <w:rFonts w:hint="eastAsia" w:ascii="仿宋" w:hAnsi="仿宋" w:eastAsia="仿宋" w:cs="仿宋"/>
          <w:color w:val="auto"/>
          <w:sz w:val="32"/>
          <w:szCs w:val="32"/>
          <w:highlight w:val="none"/>
          <w:lang w:eastAsia="zh-CN"/>
        </w:rPr>
        <w:t>（稳定学历教育、抓实职业教育、擦亮师德教育、拓宽继续教育、创新社区教育）</w:t>
      </w:r>
      <w:r>
        <w:rPr>
          <w:rFonts w:hint="eastAsia" w:ascii="仿宋" w:hAnsi="仿宋" w:eastAsia="仿宋" w:cs="仿宋"/>
          <w:color w:val="auto"/>
          <w:sz w:val="32"/>
          <w:szCs w:val="32"/>
          <w:highlight w:val="none"/>
        </w:rPr>
        <w:t>，做好学校更名、中职校搬迁和承办2021年江西省全民终身学习活动周开幕式等工作，再创佳绩，向建党100周年献礼</w:t>
      </w:r>
      <w:r>
        <w:rPr>
          <w:rFonts w:hint="eastAsia" w:ascii="仿宋" w:hAnsi="仿宋" w:eastAsia="仿宋" w:cs="仿宋"/>
          <w:color w:val="auto"/>
          <w:sz w:val="32"/>
          <w:szCs w:val="32"/>
          <w:highlight w:val="none"/>
          <w:lang w:eastAsia="zh-CN"/>
        </w:rPr>
        <w:t>。</w:t>
      </w:r>
    </w:p>
    <w:p>
      <w:pPr>
        <w:pStyle w:val="2"/>
        <w:keepNext w:val="0"/>
        <w:keepLines w:val="0"/>
        <w:pageBreakBefore w:val="0"/>
        <w:kinsoku/>
        <w:wordWrap/>
        <w:overflowPunct/>
        <w:topLinePunct w:val="0"/>
        <w:autoSpaceDE/>
        <w:autoSpaceDN/>
        <w:bidi w:val="0"/>
        <w:adjustRightInd/>
        <w:snapToGrid/>
        <w:spacing w:after="0" w:line="576" w:lineRule="exact"/>
        <w:textAlignment w:val="auto"/>
        <w:rPr>
          <w:rFonts w:hint="eastAsia"/>
          <w:color w:val="auto"/>
          <w:highlight w:val="none"/>
        </w:rPr>
      </w:pPr>
    </w:p>
    <w:p>
      <w:pPr>
        <w:pStyle w:val="2"/>
        <w:keepNext w:val="0"/>
        <w:keepLines w:val="0"/>
        <w:pageBreakBefore w:val="0"/>
        <w:kinsoku/>
        <w:wordWrap/>
        <w:overflowPunct/>
        <w:topLinePunct w:val="0"/>
        <w:autoSpaceDE/>
        <w:autoSpaceDN/>
        <w:bidi w:val="0"/>
        <w:adjustRightInd/>
        <w:snapToGrid/>
        <w:spacing w:after="0" w:line="576" w:lineRule="exact"/>
        <w:textAlignment w:val="auto"/>
        <w:rPr>
          <w:rFonts w:hint="eastAsia"/>
          <w:color w:val="auto"/>
          <w:highlight w:val="none"/>
        </w:rPr>
      </w:pPr>
    </w:p>
    <w:p>
      <w:pPr>
        <w:pStyle w:val="2"/>
        <w:keepNext w:val="0"/>
        <w:keepLines w:val="0"/>
        <w:pageBreakBefore w:val="0"/>
        <w:kinsoku/>
        <w:wordWrap/>
        <w:overflowPunct/>
        <w:topLinePunct w:val="0"/>
        <w:autoSpaceDE/>
        <w:autoSpaceDN/>
        <w:bidi w:val="0"/>
        <w:adjustRightInd/>
        <w:snapToGrid/>
        <w:spacing w:after="0" w:line="576" w:lineRule="exact"/>
        <w:textAlignment w:val="auto"/>
        <w:rPr>
          <w:rFonts w:hint="eastAsia"/>
          <w:color w:val="auto"/>
          <w:highlight w:val="none"/>
        </w:rPr>
      </w:pPr>
    </w:p>
    <w:p>
      <w:pPr>
        <w:pStyle w:val="2"/>
        <w:keepNext w:val="0"/>
        <w:keepLines w:val="0"/>
        <w:pageBreakBefore w:val="0"/>
        <w:widowControl w:val="0"/>
        <w:kinsoku/>
        <w:wordWrap/>
        <w:overflowPunct/>
        <w:topLinePunct w:val="0"/>
        <w:autoSpaceDE/>
        <w:autoSpaceDN/>
        <w:bidi w:val="0"/>
        <w:spacing w:after="0" w:line="60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                    </w:t>
      </w:r>
    </w:p>
    <w:p>
      <w:pPr>
        <w:pStyle w:val="2"/>
        <w:keepNext w:val="0"/>
        <w:keepLines w:val="0"/>
        <w:pageBreakBefore w:val="0"/>
        <w:widowControl w:val="0"/>
        <w:kinsoku/>
        <w:wordWrap/>
        <w:overflowPunct/>
        <w:topLinePunct w:val="0"/>
        <w:autoSpaceDE/>
        <w:autoSpaceDN/>
        <w:bidi w:val="0"/>
        <w:spacing w:after="0" w:line="600" w:lineRule="exact"/>
        <w:textAlignment w:val="auto"/>
        <w:rPr>
          <w:rFonts w:hint="default" w:ascii="仿宋" w:hAnsi="仿宋" w:eastAsia="仿宋" w:cs="仿宋"/>
          <w:color w:val="auto"/>
          <w:sz w:val="32"/>
          <w:szCs w:val="32"/>
          <w:highlight w:val="none"/>
          <w:lang w:val="en-US" w:eastAsia="zh-CN"/>
        </w:rPr>
      </w:pPr>
    </w:p>
    <w:p>
      <w:pPr>
        <w:pStyle w:val="2"/>
        <w:keepNext w:val="0"/>
        <w:keepLines w:val="0"/>
        <w:pageBreakBefore w:val="0"/>
        <w:widowControl w:val="0"/>
        <w:kinsoku/>
        <w:wordWrap/>
        <w:overflowPunct/>
        <w:topLinePunct w:val="0"/>
        <w:autoSpaceDE/>
        <w:autoSpaceDN/>
        <w:bidi w:val="0"/>
        <w:spacing w:after="0" w:line="600" w:lineRule="exact"/>
        <w:textAlignment w:val="auto"/>
        <w:rPr>
          <w:rFonts w:hint="eastAsia"/>
          <w:color w:val="auto"/>
          <w:highlight w:val="none"/>
        </w:rPr>
      </w:pPr>
    </w:p>
    <w:p>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pPr>
        <w:rPr>
          <w:color w:val="auto"/>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sz w:val="28"/>
                              <w:szCs w:val="44"/>
                              <w:lang w:eastAsia="zh-CN"/>
                            </w:rPr>
                          </w:pPr>
                          <w:r>
                            <w:rPr>
                              <w:rFonts w:hint="eastAsia"/>
                              <w:sz w:val="28"/>
                              <w:szCs w:val="44"/>
                              <w:lang w:eastAsia="zh-CN"/>
                            </w:rPr>
                            <w:fldChar w:fldCharType="begin"/>
                          </w:r>
                          <w:r>
                            <w:rPr>
                              <w:rFonts w:hint="eastAsia"/>
                              <w:sz w:val="28"/>
                              <w:szCs w:val="44"/>
                              <w:lang w:eastAsia="zh-CN"/>
                            </w:rPr>
                            <w:instrText xml:space="preserve"> PAGE  \* MERGEFORMAT </w:instrText>
                          </w:r>
                          <w:r>
                            <w:rPr>
                              <w:rFonts w:hint="eastAsia"/>
                              <w:sz w:val="28"/>
                              <w:szCs w:val="44"/>
                              <w:lang w:eastAsia="zh-CN"/>
                            </w:rPr>
                            <w:fldChar w:fldCharType="separate"/>
                          </w:r>
                          <w:r>
                            <w:rPr>
                              <w:rFonts w:hint="eastAsia"/>
                              <w:sz w:val="28"/>
                              <w:szCs w:val="44"/>
                              <w:lang w:eastAsia="zh-CN"/>
                            </w:rPr>
                            <w:t>1</w:t>
                          </w:r>
                          <w:r>
                            <w:rPr>
                              <w:rFonts w:hint="eastAsia"/>
                              <w:sz w:val="28"/>
                              <w:szCs w:val="4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sz w:val="28"/>
                        <w:szCs w:val="44"/>
                        <w:lang w:eastAsia="zh-CN"/>
                      </w:rPr>
                    </w:pPr>
                    <w:r>
                      <w:rPr>
                        <w:rFonts w:hint="eastAsia"/>
                        <w:sz w:val="28"/>
                        <w:szCs w:val="44"/>
                        <w:lang w:eastAsia="zh-CN"/>
                      </w:rPr>
                      <w:fldChar w:fldCharType="begin"/>
                    </w:r>
                    <w:r>
                      <w:rPr>
                        <w:rFonts w:hint="eastAsia"/>
                        <w:sz w:val="28"/>
                        <w:szCs w:val="44"/>
                        <w:lang w:eastAsia="zh-CN"/>
                      </w:rPr>
                      <w:instrText xml:space="preserve"> PAGE  \* MERGEFORMAT </w:instrText>
                    </w:r>
                    <w:r>
                      <w:rPr>
                        <w:rFonts w:hint="eastAsia"/>
                        <w:sz w:val="28"/>
                        <w:szCs w:val="44"/>
                        <w:lang w:eastAsia="zh-CN"/>
                      </w:rPr>
                      <w:fldChar w:fldCharType="separate"/>
                    </w:r>
                    <w:r>
                      <w:rPr>
                        <w:rFonts w:hint="eastAsia"/>
                        <w:sz w:val="28"/>
                        <w:szCs w:val="44"/>
                        <w:lang w:eastAsia="zh-CN"/>
                      </w:rPr>
                      <w:t>1</w:t>
                    </w:r>
                    <w:r>
                      <w:rPr>
                        <w:rFonts w:hint="eastAsia"/>
                        <w:sz w:val="28"/>
                        <w:szCs w:val="4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DE5FC7"/>
    <w:multiLevelType w:val="singleLevel"/>
    <w:tmpl w:val="DEDE5FC7"/>
    <w:lvl w:ilvl="0" w:tentative="0">
      <w:start w:val="3"/>
      <w:numFmt w:val="chineseCounting"/>
      <w:suff w:val="nothing"/>
      <w:lvlText w:val="%1、"/>
      <w:lvlJc w:val="left"/>
      <w:rPr>
        <w:rFonts w:hint="eastAsia"/>
      </w:rPr>
    </w:lvl>
  </w:abstractNum>
  <w:abstractNum w:abstractNumId="1">
    <w:nsid w:val="66BF78B8"/>
    <w:multiLevelType w:val="singleLevel"/>
    <w:tmpl w:val="66BF78B8"/>
    <w:lvl w:ilvl="0" w:tentative="0">
      <w:start w:val="1"/>
      <w:numFmt w:val="chineseCounting"/>
      <w:suff w:val="nothing"/>
      <w:lvlText w:val="%1、"/>
      <w:lvlJc w:val="left"/>
      <w:rPr>
        <w:rFonts w:hint="eastAsia"/>
      </w:rPr>
    </w:lvl>
  </w:abstractNum>
  <w:abstractNum w:abstractNumId="2">
    <w:nsid w:val="6EB2AD7A"/>
    <w:multiLevelType w:val="singleLevel"/>
    <w:tmpl w:val="6EB2AD7A"/>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9B63B7"/>
    <w:rsid w:val="00E64EE5"/>
    <w:rsid w:val="017A5691"/>
    <w:rsid w:val="046B351D"/>
    <w:rsid w:val="09C9573A"/>
    <w:rsid w:val="0B6270BD"/>
    <w:rsid w:val="0FCF4987"/>
    <w:rsid w:val="12B6721C"/>
    <w:rsid w:val="158352D9"/>
    <w:rsid w:val="176C3CB9"/>
    <w:rsid w:val="1F3A45D2"/>
    <w:rsid w:val="20F61137"/>
    <w:rsid w:val="213E158B"/>
    <w:rsid w:val="22891207"/>
    <w:rsid w:val="285A5ABB"/>
    <w:rsid w:val="2A494B89"/>
    <w:rsid w:val="37F25A1B"/>
    <w:rsid w:val="458A28CE"/>
    <w:rsid w:val="4B873A20"/>
    <w:rsid w:val="51BC6513"/>
    <w:rsid w:val="52C40D02"/>
    <w:rsid w:val="53EC2772"/>
    <w:rsid w:val="556F4A35"/>
    <w:rsid w:val="58166C30"/>
    <w:rsid w:val="6052655D"/>
    <w:rsid w:val="639B315F"/>
    <w:rsid w:val="63E64EB7"/>
    <w:rsid w:val="65ED7DD4"/>
    <w:rsid w:val="6E4749D3"/>
    <w:rsid w:val="71326E06"/>
    <w:rsid w:val="75023A96"/>
    <w:rsid w:val="775E6625"/>
    <w:rsid w:val="7B852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16"/>
    <w:qFormat/>
    <w:uiPriority w:val="0"/>
    <w:rPr>
      <w:rFonts w:hint="default" w:ascii="Times New Roman" w:hAnsi="Times New Roman" w:cs="Times New Roman"/>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78</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2021-03-17T03:22:00Z</dcterms:created>
  <dc:creator>青</dc:creator>
  <cp:lastModifiedBy>青</cp:lastModifiedBy>
  <cp:lastPrinted>2021-04-22T03:00:59Z</cp:lastPrinted>
  <dcterms:modified xsi:type="dcterms:W3CDTF">2021-04-22T03:03:41Z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