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149.xml" ContentType="application/vnd.ms-office.activeX+xml"/>
  <Override PartName="/word/activeX/activeX178.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B96" w:rsidRPr="00236B96" w:rsidRDefault="00236B96" w:rsidP="00236B96">
      <w:pPr>
        <w:widowControl/>
        <w:shd w:val="clear" w:color="auto" w:fill="EEF3F9"/>
        <w:jc w:val="center"/>
        <w:rPr>
          <w:rFonts w:ascii="宋体" w:eastAsia="宋体" w:hAnsi="宋体" w:cs="宋体"/>
          <w:kern w:val="0"/>
          <w:sz w:val="54"/>
          <w:szCs w:val="54"/>
        </w:rPr>
      </w:pPr>
      <w:r w:rsidRPr="00236B96">
        <w:rPr>
          <w:rFonts w:ascii="宋体" w:eastAsia="宋体" w:hAnsi="宋体" w:cs="宋体"/>
          <w:kern w:val="0"/>
          <w:sz w:val="54"/>
          <w:szCs w:val="54"/>
        </w:rPr>
        <w:t>证券投资分析01任务</w:t>
      </w:r>
    </w:p>
    <w:p w:rsidR="00236B96" w:rsidRPr="00236B96" w:rsidRDefault="00236B96" w:rsidP="00236B96">
      <w:pPr>
        <w:widowControl/>
        <w:shd w:val="clear" w:color="auto" w:fill="EEF3F9"/>
        <w:jc w:val="center"/>
        <w:rPr>
          <w:rFonts w:ascii="宋体" w:eastAsia="宋体" w:hAnsi="宋体" w:cs="宋体"/>
          <w:kern w:val="0"/>
          <w:sz w:val="32"/>
          <w:szCs w:val="32"/>
        </w:rPr>
      </w:pPr>
      <w:r w:rsidRPr="00236B96">
        <w:rPr>
          <w:rFonts w:ascii="宋体" w:eastAsia="宋体" w:hAnsi="宋体" w:cs="宋体"/>
          <w:kern w:val="0"/>
          <w:sz w:val="32"/>
          <w:szCs w:val="32"/>
        </w:rPr>
        <w:t>试卷总分：100</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br/>
      </w:r>
      <w:r w:rsidRPr="00236B96">
        <w:rPr>
          <w:rFonts w:ascii="宋体" w:eastAsia="宋体" w:hAnsi="宋体" w:cs="宋体"/>
          <w:kern w:val="0"/>
          <w:sz w:val="45"/>
          <w:szCs w:val="45"/>
        </w:rPr>
        <w:br/>
        <w:t>1</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t>选择题(共10题,共60分)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把股票分为普通股和优先股的根据是（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236B96">
        <w:rPr>
          <w:rFonts w:ascii="宋体" w:eastAsia="宋体" w:hAnsi="宋体" w:cs="宋体" w:hint="eastAsia"/>
          <w:kern w:val="0"/>
          <w:sz w:val="32"/>
          <w:szCs w:val="32"/>
        </w:rPr>
        <w:t>A、是否记载姓名</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203" type="#_x0000_t75" style="width:20.25pt;height:15.75pt" o:ole="">
            <v:imagedata r:id="rId6" o:title=""/>
          </v:shape>
          <w:control r:id="rId7" w:name="DefaultOcxName1" w:shapeid="_x0000_i1203"/>
        </w:object>
      </w:r>
      <w:r w:rsidRPr="00236B96">
        <w:rPr>
          <w:rFonts w:ascii="宋体" w:eastAsia="宋体" w:hAnsi="宋体" w:cs="宋体" w:hint="eastAsia"/>
          <w:kern w:val="0"/>
          <w:sz w:val="32"/>
          <w:szCs w:val="32"/>
        </w:rPr>
        <w:t>B、享有的权利不同</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202" type="#_x0000_t75" style="width:20.25pt;height:15.75pt" o:ole="">
            <v:imagedata r:id="rId4" o:title=""/>
          </v:shape>
          <w:control r:id="rId8" w:name="DefaultOcxName2" w:shapeid="_x0000_i1202"/>
        </w:object>
      </w:r>
      <w:r w:rsidRPr="00236B96">
        <w:rPr>
          <w:rFonts w:ascii="宋体" w:eastAsia="宋体" w:hAnsi="宋体" w:cs="宋体" w:hint="eastAsia"/>
          <w:kern w:val="0"/>
          <w:sz w:val="32"/>
          <w:szCs w:val="32"/>
        </w:rPr>
        <w:t>C、是否允许上市</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201" type="#_x0000_t75" style="width:20.25pt;height:15.75pt" o:ole="">
            <v:imagedata r:id="rId4" o:title=""/>
          </v:shape>
          <w:control r:id="rId9" w:name="DefaultOcxName3" w:shapeid="_x0000_i1201"/>
        </w:object>
      </w:r>
      <w:r w:rsidRPr="00236B96">
        <w:rPr>
          <w:rFonts w:ascii="宋体" w:eastAsia="宋体" w:hAnsi="宋体" w:cs="宋体" w:hint="eastAsia"/>
          <w:kern w:val="0"/>
          <w:sz w:val="32"/>
          <w:szCs w:val="32"/>
        </w:rPr>
        <w:t>D、票面是否标明金额</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2.(6分)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职工股要在股份公司股票上市（ ）后方可上市流通。</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200" type="#_x0000_t75" style="width:20.25pt;height:15.75pt" o:ole="">
            <v:imagedata r:id="rId6" o:title=""/>
          </v:shape>
          <w:control r:id="rId10" w:name="DefaultOcxName4" w:shapeid="_x0000_i1200"/>
        </w:object>
      </w:r>
      <w:r w:rsidRPr="00236B96">
        <w:rPr>
          <w:rFonts w:ascii="宋体" w:eastAsia="宋体" w:hAnsi="宋体" w:cs="宋体" w:hint="eastAsia"/>
          <w:kern w:val="0"/>
          <w:sz w:val="32"/>
          <w:szCs w:val="32"/>
        </w:rPr>
        <w:t>A、3年</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9" type="#_x0000_t75" style="width:20.25pt;height:15.75pt" o:ole="">
            <v:imagedata r:id="rId4" o:title=""/>
          </v:shape>
          <w:control r:id="rId11" w:name="DefaultOcxName5" w:shapeid="_x0000_i1199"/>
        </w:object>
      </w:r>
      <w:r w:rsidRPr="00236B96">
        <w:rPr>
          <w:rFonts w:ascii="宋体" w:eastAsia="宋体" w:hAnsi="宋体" w:cs="宋体" w:hint="eastAsia"/>
          <w:kern w:val="0"/>
          <w:sz w:val="32"/>
          <w:szCs w:val="32"/>
        </w:rPr>
        <w:t>B、6个月</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8" type="#_x0000_t75" style="width:20.25pt;height:15.75pt" o:ole="">
            <v:imagedata r:id="rId4" o:title=""/>
          </v:shape>
          <w:control r:id="rId12" w:name="DefaultOcxName6" w:shapeid="_x0000_i1198"/>
        </w:object>
      </w:r>
      <w:r w:rsidRPr="00236B96">
        <w:rPr>
          <w:rFonts w:ascii="宋体" w:eastAsia="宋体" w:hAnsi="宋体" w:cs="宋体" w:hint="eastAsia"/>
          <w:kern w:val="0"/>
          <w:sz w:val="32"/>
          <w:szCs w:val="32"/>
        </w:rPr>
        <w:t>C、3个月</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7" type="#_x0000_t75" style="width:20.25pt;height:15.75pt" o:ole="">
            <v:imagedata r:id="rId4" o:title=""/>
          </v:shape>
          <w:control r:id="rId13" w:name="DefaultOcxName7" w:shapeid="_x0000_i1197"/>
        </w:object>
      </w:r>
      <w:r w:rsidRPr="00236B96">
        <w:rPr>
          <w:rFonts w:ascii="宋体" w:eastAsia="宋体" w:hAnsi="宋体" w:cs="宋体" w:hint="eastAsia"/>
          <w:kern w:val="0"/>
          <w:sz w:val="32"/>
          <w:szCs w:val="32"/>
        </w:rPr>
        <w:t>D、1年</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3.(6分)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按我国《证券法》规定，综合类证券公司其注册资金不少于（ ）万元</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6" type="#_x0000_t75" style="width:20.25pt;height:15.75pt" o:ole="">
            <v:imagedata r:id="rId4" o:title=""/>
          </v:shape>
          <w:control r:id="rId14" w:name="DefaultOcxName8" w:shapeid="_x0000_i1196"/>
        </w:object>
      </w:r>
      <w:r w:rsidRPr="00236B96">
        <w:rPr>
          <w:rFonts w:ascii="宋体" w:eastAsia="宋体" w:hAnsi="宋体" w:cs="宋体" w:hint="eastAsia"/>
          <w:kern w:val="0"/>
          <w:sz w:val="32"/>
          <w:szCs w:val="32"/>
        </w:rPr>
        <w:t>A、5000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5" type="#_x0000_t75" style="width:20.25pt;height:15.75pt" o:ole="">
            <v:imagedata r:id="rId4" o:title=""/>
          </v:shape>
          <w:control r:id="rId15" w:name="DefaultOcxName9" w:shapeid="_x0000_i1195"/>
        </w:object>
      </w:r>
      <w:r w:rsidRPr="00236B96">
        <w:rPr>
          <w:rFonts w:ascii="宋体" w:eastAsia="宋体" w:hAnsi="宋体" w:cs="宋体" w:hint="eastAsia"/>
          <w:kern w:val="0"/>
          <w:sz w:val="32"/>
          <w:szCs w:val="32"/>
        </w:rPr>
        <w:t>B、2000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4" type="#_x0000_t75" style="width:20.25pt;height:15.75pt" o:ole="">
            <v:imagedata r:id="rId6" o:title=""/>
          </v:shape>
          <w:control r:id="rId16" w:name="DefaultOcxName10" w:shapeid="_x0000_i1194"/>
        </w:object>
      </w:r>
      <w:r w:rsidRPr="00236B96">
        <w:rPr>
          <w:rFonts w:ascii="宋体" w:eastAsia="宋体" w:hAnsi="宋体" w:cs="宋体" w:hint="eastAsia"/>
          <w:kern w:val="0"/>
          <w:sz w:val="32"/>
          <w:szCs w:val="32"/>
        </w:rPr>
        <w:t>C、50000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3" type="#_x0000_t75" style="width:20.25pt;height:15.75pt" o:ole="">
            <v:imagedata r:id="rId4" o:title=""/>
          </v:shape>
          <w:control r:id="rId17" w:name="DefaultOcxName11" w:shapeid="_x0000_i1193"/>
        </w:object>
      </w:r>
      <w:r w:rsidRPr="00236B96">
        <w:rPr>
          <w:rFonts w:ascii="宋体" w:eastAsia="宋体" w:hAnsi="宋体" w:cs="宋体" w:hint="eastAsia"/>
          <w:kern w:val="0"/>
          <w:sz w:val="32"/>
          <w:szCs w:val="32"/>
        </w:rPr>
        <w:t>D、10000</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4.(6分)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依据优先股股息在当年未能足额分派，能否在以后年度补发，可将优先股分为（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2" type="#_x0000_t75" style="width:20.25pt;height:15.75pt" o:ole="">
            <v:imagedata r:id="rId6" o:title=""/>
          </v:shape>
          <w:control r:id="rId18" w:name="DefaultOcxName12" w:shapeid="_x0000_i1192"/>
        </w:object>
      </w:r>
      <w:r w:rsidRPr="00236B96">
        <w:rPr>
          <w:rFonts w:ascii="宋体" w:eastAsia="宋体" w:hAnsi="宋体" w:cs="宋体" w:hint="eastAsia"/>
          <w:kern w:val="0"/>
          <w:sz w:val="32"/>
          <w:szCs w:val="32"/>
        </w:rPr>
        <w:t>A、累计优先股和非累计优先股</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1" type="#_x0000_t75" style="width:20.25pt;height:15.75pt" o:ole="">
            <v:imagedata r:id="rId4" o:title=""/>
          </v:shape>
          <w:control r:id="rId19" w:name="DefaultOcxName13" w:shapeid="_x0000_i1191"/>
        </w:object>
      </w:r>
      <w:r w:rsidRPr="00236B96">
        <w:rPr>
          <w:rFonts w:ascii="宋体" w:eastAsia="宋体" w:hAnsi="宋体" w:cs="宋体" w:hint="eastAsia"/>
          <w:kern w:val="0"/>
          <w:sz w:val="32"/>
          <w:szCs w:val="32"/>
        </w:rPr>
        <w:t>B、可调换优先股和非调换优先股</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90" type="#_x0000_t75" style="width:20.25pt;height:15.75pt" o:ole="">
            <v:imagedata r:id="rId4" o:title=""/>
          </v:shape>
          <w:control r:id="rId20" w:name="DefaultOcxName14" w:shapeid="_x0000_i1190"/>
        </w:object>
      </w:r>
      <w:r w:rsidRPr="00236B96">
        <w:rPr>
          <w:rFonts w:ascii="宋体" w:eastAsia="宋体" w:hAnsi="宋体" w:cs="宋体" w:hint="eastAsia"/>
          <w:kern w:val="0"/>
          <w:sz w:val="32"/>
          <w:szCs w:val="32"/>
        </w:rPr>
        <w:t>C、参与优先股和非参与优先股</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9" type="#_x0000_t75" style="width:20.25pt;height:15.75pt" o:ole="">
            <v:imagedata r:id="rId4" o:title=""/>
          </v:shape>
          <w:control r:id="rId21" w:name="DefaultOcxName15" w:shapeid="_x0000_i1189"/>
        </w:object>
      </w:r>
      <w:r w:rsidRPr="00236B96">
        <w:rPr>
          <w:rFonts w:ascii="宋体" w:eastAsia="宋体" w:hAnsi="宋体" w:cs="宋体" w:hint="eastAsia"/>
          <w:kern w:val="0"/>
          <w:sz w:val="32"/>
          <w:szCs w:val="32"/>
        </w:rPr>
        <w:t>D、可赎回优先股和不可赎回优先股</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5.(6分)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股份公司发行的股票具有（ ）的特征。</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8" type="#_x0000_t75" style="width:20.25pt;height:15.75pt" o:ole="">
            <v:imagedata r:id="rId4" o:title=""/>
          </v:shape>
          <w:control r:id="rId22" w:name="DefaultOcxName16" w:shapeid="_x0000_i1188"/>
        </w:object>
      </w:r>
      <w:r w:rsidRPr="00236B96">
        <w:rPr>
          <w:rFonts w:ascii="宋体" w:eastAsia="宋体" w:hAnsi="宋体" w:cs="宋体" w:hint="eastAsia"/>
          <w:kern w:val="0"/>
          <w:sz w:val="32"/>
          <w:szCs w:val="32"/>
        </w:rPr>
        <w:t>A、提前偿还</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7" type="#_x0000_t75" style="width:20.25pt;height:15.75pt" o:ole="">
            <v:imagedata r:id="rId6" o:title=""/>
          </v:shape>
          <w:control r:id="rId23" w:name="DefaultOcxName17" w:shapeid="_x0000_i1187"/>
        </w:object>
      </w:r>
      <w:r w:rsidRPr="00236B96">
        <w:rPr>
          <w:rFonts w:ascii="宋体" w:eastAsia="宋体" w:hAnsi="宋体" w:cs="宋体" w:hint="eastAsia"/>
          <w:kern w:val="0"/>
          <w:sz w:val="32"/>
          <w:szCs w:val="32"/>
        </w:rPr>
        <w:t>B、无偿还期限</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6" type="#_x0000_t75" style="width:20.25pt;height:15.75pt" o:ole="">
            <v:imagedata r:id="rId4" o:title=""/>
          </v:shape>
          <w:control r:id="rId24" w:name="DefaultOcxName18" w:shapeid="_x0000_i1186"/>
        </w:object>
      </w:r>
      <w:r w:rsidRPr="00236B96">
        <w:rPr>
          <w:rFonts w:ascii="宋体" w:eastAsia="宋体" w:hAnsi="宋体" w:cs="宋体" w:hint="eastAsia"/>
          <w:kern w:val="0"/>
          <w:sz w:val="32"/>
          <w:szCs w:val="32"/>
        </w:rPr>
        <w:t>C、非盈利性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5" type="#_x0000_t75" style="width:20.25pt;height:15.75pt" o:ole="">
            <v:imagedata r:id="rId4" o:title=""/>
          </v:shape>
          <w:control r:id="rId25" w:name="DefaultOcxName19" w:shapeid="_x0000_i1185"/>
        </w:object>
      </w:r>
      <w:r w:rsidRPr="00236B96">
        <w:rPr>
          <w:rFonts w:ascii="宋体" w:eastAsia="宋体" w:hAnsi="宋体" w:cs="宋体" w:hint="eastAsia"/>
          <w:kern w:val="0"/>
          <w:sz w:val="32"/>
          <w:szCs w:val="32"/>
        </w:rPr>
        <w:t>D、股东结构不可改变性</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6.(6分)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 ）是证据证券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4" type="#_x0000_t75" style="width:20.25pt;height:15.75pt" o:ole="">
            <v:imagedata r:id="rId4" o:title=""/>
          </v:shape>
          <w:control r:id="rId26" w:name="DefaultOcxName20" w:shapeid="_x0000_i1184"/>
        </w:object>
      </w:r>
      <w:r w:rsidRPr="00236B96">
        <w:rPr>
          <w:rFonts w:ascii="宋体" w:eastAsia="宋体" w:hAnsi="宋体" w:cs="宋体" w:hint="eastAsia"/>
          <w:kern w:val="0"/>
          <w:sz w:val="32"/>
          <w:szCs w:val="32"/>
        </w:rPr>
        <w:t>A、凭证证券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3" type="#_x0000_t75" style="width:20.25pt;height:15.75pt" o:ole="">
            <v:imagedata r:id="rId6" o:title=""/>
          </v:shape>
          <w:control r:id="rId27" w:name="DefaultOcxName21" w:shapeid="_x0000_i1183"/>
        </w:object>
      </w:r>
      <w:r w:rsidRPr="00236B96">
        <w:rPr>
          <w:rFonts w:ascii="宋体" w:eastAsia="宋体" w:hAnsi="宋体" w:cs="宋体" w:hint="eastAsia"/>
          <w:kern w:val="0"/>
          <w:sz w:val="32"/>
          <w:szCs w:val="32"/>
        </w:rPr>
        <w:t>B、收据</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2" type="#_x0000_t75" style="width:20.25pt;height:15.75pt" o:ole="">
            <v:imagedata r:id="rId4" o:title=""/>
          </v:shape>
          <w:control r:id="rId28" w:name="DefaultOcxName22" w:shapeid="_x0000_i1182"/>
        </w:object>
      </w:r>
      <w:r w:rsidRPr="00236B96">
        <w:rPr>
          <w:rFonts w:ascii="宋体" w:eastAsia="宋体" w:hAnsi="宋体" w:cs="宋体" w:hint="eastAsia"/>
          <w:kern w:val="0"/>
          <w:sz w:val="32"/>
          <w:szCs w:val="32"/>
        </w:rPr>
        <w:t>C、股票</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1" type="#_x0000_t75" style="width:20.25pt;height:15.75pt" o:ole="">
            <v:imagedata r:id="rId4" o:title=""/>
          </v:shape>
          <w:control r:id="rId29" w:name="DefaultOcxName23" w:shapeid="_x0000_i1181"/>
        </w:object>
      </w:r>
      <w:r w:rsidRPr="00236B96">
        <w:rPr>
          <w:rFonts w:ascii="宋体" w:eastAsia="宋体" w:hAnsi="宋体" w:cs="宋体" w:hint="eastAsia"/>
          <w:kern w:val="0"/>
          <w:sz w:val="32"/>
          <w:szCs w:val="32"/>
        </w:rPr>
        <w:t>D、债权</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7.(6分)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下列证券中属于无价证券的是（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80" type="#_x0000_t75" style="width:20.25pt;height:15.75pt" o:ole="">
            <v:imagedata r:id="rId6" o:title=""/>
          </v:shape>
          <w:control r:id="rId30" w:name="DefaultOcxName24" w:shapeid="_x0000_i1180"/>
        </w:object>
      </w:r>
      <w:r w:rsidRPr="00236B96">
        <w:rPr>
          <w:rFonts w:ascii="宋体" w:eastAsia="宋体" w:hAnsi="宋体" w:cs="宋体" w:hint="eastAsia"/>
          <w:kern w:val="0"/>
          <w:sz w:val="32"/>
          <w:szCs w:val="32"/>
        </w:rPr>
        <w:t>A、凭证证券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9" type="#_x0000_t75" style="width:20.25pt;height:15.75pt" o:ole="">
            <v:imagedata r:id="rId4" o:title=""/>
          </v:shape>
          <w:control r:id="rId31" w:name="DefaultOcxName25" w:shapeid="_x0000_i1179"/>
        </w:object>
      </w:r>
      <w:r w:rsidRPr="00236B96">
        <w:rPr>
          <w:rFonts w:ascii="宋体" w:eastAsia="宋体" w:hAnsi="宋体" w:cs="宋体" w:hint="eastAsia"/>
          <w:kern w:val="0"/>
          <w:sz w:val="32"/>
          <w:szCs w:val="32"/>
        </w:rPr>
        <w:t>B、商品证券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8" type="#_x0000_t75" style="width:20.25pt;height:15.75pt" o:ole="">
            <v:imagedata r:id="rId4" o:title=""/>
          </v:shape>
          <w:control r:id="rId32" w:name="DefaultOcxName26" w:shapeid="_x0000_i1178"/>
        </w:object>
      </w:r>
      <w:r w:rsidRPr="00236B96">
        <w:rPr>
          <w:rFonts w:ascii="宋体" w:eastAsia="宋体" w:hAnsi="宋体" w:cs="宋体" w:hint="eastAsia"/>
          <w:kern w:val="0"/>
          <w:sz w:val="32"/>
          <w:szCs w:val="32"/>
        </w:rPr>
        <w:t>C、货币证券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7" type="#_x0000_t75" style="width:20.25pt;height:15.75pt" o:ole="">
            <v:imagedata r:id="rId4" o:title=""/>
          </v:shape>
          <w:control r:id="rId33" w:name="DefaultOcxName27" w:shapeid="_x0000_i1177"/>
        </w:object>
      </w:r>
      <w:r w:rsidRPr="00236B96">
        <w:rPr>
          <w:rFonts w:ascii="宋体" w:eastAsia="宋体" w:hAnsi="宋体" w:cs="宋体" w:hint="eastAsia"/>
          <w:kern w:val="0"/>
          <w:sz w:val="32"/>
          <w:szCs w:val="32"/>
        </w:rPr>
        <w:t>D、资本证券</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8.(6分)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“熨平”经济波动周期的货币政策应该以买卖( )为对象。</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6" type="#_x0000_t75" style="width:20.25pt;height:15.75pt" o:ole="">
            <v:imagedata r:id="rId4" o:title=""/>
          </v:shape>
          <w:control r:id="rId34" w:name="DefaultOcxName28" w:shapeid="_x0000_i1176"/>
        </w:object>
      </w:r>
      <w:r w:rsidRPr="00236B96">
        <w:rPr>
          <w:rFonts w:ascii="宋体" w:eastAsia="宋体" w:hAnsi="宋体" w:cs="宋体" w:hint="eastAsia"/>
          <w:kern w:val="0"/>
          <w:sz w:val="32"/>
          <w:szCs w:val="32"/>
        </w:rPr>
        <w:t>A、农产品</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5" type="#_x0000_t75" style="width:20.25pt;height:15.75pt" o:ole="">
            <v:imagedata r:id="rId4" o:title=""/>
          </v:shape>
          <w:control r:id="rId35" w:name="DefaultOcxName29" w:shapeid="_x0000_i1175"/>
        </w:object>
      </w:r>
      <w:r w:rsidRPr="00236B96">
        <w:rPr>
          <w:rFonts w:ascii="宋体" w:eastAsia="宋体" w:hAnsi="宋体" w:cs="宋体" w:hint="eastAsia"/>
          <w:kern w:val="0"/>
          <w:sz w:val="32"/>
          <w:szCs w:val="32"/>
        </w:rPr>
        <w:t>B、外汇</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4" type="#_x0000_t75" style="width:20.25pt;height:15.75pt" o:ole="">
            <v:imagedata r:id="rId4" o:title=""/>
          </v:shape>
          <w:control r:id="rId36" w:name="DefaultOcxName30" w:shapeid="_x0000_i1174"/>
        </w:object>
      </w:r>
      <w:r w:rsidRPr="00236B96">
        <w:rPr>
          <w:rFonts w:ascii="宋体" w:eastAsia="宋体" w:hAnsi="宋体" w:cs="宋体" w:hint="eastAsia"/>
          <w:kern w:val="0"/>
          <w:sz w:val="32"/>
          <w:szCs w:val="32"/>
        </w:rPr>
        <w:t>C、企业债券</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3" type="#_x0000_t75" style="width:20.25pt;height:15.75pt" o:ole="">
            <v:imagedata r:id="rId6" o:title=""/>
          </v:shape>
          <w:control r:id="rId37" w:name="DefaultOcxName31" w:shapeid="_x0000_i1173"/>
        </w:object>
      </w:r>
      <w:r w:rsidRPr="00236B96">
        <w:rPr>
          <w:rFonts w:ascii="宋体" w:eastAsia="宋体" w:hAnsi="宋体" w:cs="宋体" w:hint="eastAsia"/>
          <w:kern w:val="0"/>
          <w:sz w:val="32"/>
          <w:szCs w:val="32"/>
        </w:rPr>
        <w:t>D、政府债券</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9.(6分)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持有公司（ ）以上股份的股东享有临时股东大会召集请求权。</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2" type="#_x0000_t75" style="width:20.25pt;height:15.75pt" o:ole="">
            <v:imagedata r:id="rId6" o:title=""/>
          </v:shape>
          <w:control r:id="rId38" w:name="DefaultOcxName32" w:shapeid="_x0000_i1172"/>
        </w:object>
      </w:r>
      <w:r w:rsidRPr="00236B96">
        <w:rPr>
          <w:rFonts w:ascii="宋体" w:eastAsia="宋体" w:hAnsi="宋体" w:cs="宋体" w:hint="eastAsia"/>
          <w:kern w:val="0"/>
          <w:sz w:val="32"/>
          <w:szCs w:val="32"/>
        </w:rPr>
        <w:t>A、10%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1" type="#_x0000_t75" style="width:20.25pt;height:15.75pt" o:ole="">
            <v:imagedata r:id="rId4" o:title=""/>
          </v:shape>
          <w:control r:id="rId39" w:name="DefaultOcxName33" w:shapeid="_x0000_i1171"/>
        </w:object>
      </w:r>
      <w:r w:rsidRPr="00236B96">
        <w:rPr>
          <w:rFonts w:ascii="宋体" w:eastAsia="宋体" w:hAnsi="宋体" w:cs="宋体" w:hint="eastAsia"/>
          <w:kern w:val="0"/>
          <w:sz w:val="32"/>
          <w:szCs w:val="32"/>
        </w:rPr>
        <w:t>B、20%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236B96">
        <w:rPr>
          <w:rFonts w:ascii="宋体" w:eastAsia="宋体" w:hAnsi="宋体" w:cs="宋体" w:hint="eastAsia"/>
          <w:kern w:val="0"/>
          <w:sz w:val="32"/>
          <w:szCs w:val="32"/>
        </w:rPr>
        <w:t>C、15%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69" type="#_x0000_t75" style="width:20.25pt;height:15.75pt" o:ole="">
            <v:imagedata r:id="rId4" o:title=""/>
          </v:shape>
          <w:control r:id="rId41" w:name="DefaultOcxName35" w:shapeid="_x0000_i1169"/>
        </w:object>
      </w:r>
      <w:r w:rsidRPr="00236B96">
        <w:rPr>
          <w:rFonts w:ascii="宋体" w:eastAsia="宋体" w:hAnsi="宋体" w:cs="宋体" w:hint="eastAsia"/>
          <w:kern w:val="0"/>
          <w:sz w:val="32"/>
          <w:szCs w:val="32"/>
        </w:rPr>
        <w:t>D、30%</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10.(6分)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我国《证券法》第七十九条规定，投资者持有一个上市公司（ ）应当在该事实发生之日起三日内向证监会等有关部门报告。</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68" type="#_x0000_t75" style="width:20.25pt;height:15.75pt" o:ole="">
            <v:imagedata r:id="rId6" o:title=""/>
          </v:shape>
          <w:control r:id="rId42" w:name="DefaultOcxName36" w:shapeid="_x0000_i1168"/>
        </w:object>
      </w:r>
      <w:r w:rsidRPr="00236B96">
        <w:rPr>
          <w:rFonts w:ascii="宋体" w:eastAsia="宋体" w:hAnsi="宋体" w:cs="宋体" w:hint="eastAsia"/>
          <w:kern w:val="0"/>
          <w:sz w:val="32"/>
          <w:szCs w:val="32"/>
        </w:rPr>
        <w:t>A、已发行股份的10%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67" type="#_x0000_t75" style="width:20.25pt;height:15.75pt" o:ole="">
            <v:imagedata r:id="rId4" o:title=""/>
          </v:shape>
          <w:control r:id="rId43" w:name="DefaultOcxName37" w:shapeid="_x0000_i1167"/>
        </w:object>
      </w:r>
      <w:r w:rsidRPr="00236B96">
        <w:rPr>
          <w:rFonts w:ascii="宋体" w:eastAsia="宋体" w:hAnsi="宋体" w:cs="宋体" w:hint="eastAsia"/>
          <w:kern w:val="0"/>
          <w:sz w:val="32"/>
          <w:szCs w:val="32"/>
        </w:rPr>
        <w:t>B、总股份的5%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66" type="#_x0000_t75" style="width:20.25pt;height:15.75pt" o:ole="">
            <v:imagedata r:id="rId4" o:title=""/>
          </v:shape>
          <w:control r:id="rId44" w:name="DefaultOcxName38" w:shapeid="_x0000_i1166"/>
        </w:object>
      </w:r>
      <w:r w:rsidRPr="00236B96">
        <w:rPr>
          <w:rFonts w:ascii="宋体" w:eastAsia="宋体" w:hAnsi="宋体" w:cs="宋体" w:hint="eastAsia"/>
          <w:kern w:val="0"/>
          <w:sz w:val="32"/>
          <w:szCs w:val="32"/>
        </w:rPr>
        <w:t>C、总股份的10%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165" type="#_x0000_t75" style="width:20.25pt;height:15.75pt" o:ole="">
            <v:imagedata r:id="rId4" o:title=""/>
          </v:shape>
          <w:control r:id="rId45" w:name="DefaultOcxName39" w:shapeid="_x0000_i1165"/>
        </w:object>
      </w:r>
      <w:r w:rsidRPr="00236B96">
        <w:rPr>
          <w:rFonts w:ascii="宋体" w:eastAsia="宋体" w:hAnsi="宋体" w:cs="宋体" w:hint="eastAsia"/>
          <w:kern w:val="0"/>
          <w:sz w:val="32"/>
          <w:szCs w:val="32"/>
        </w:rPr>
        <w:t>D、已发行股份的5%</w:t>
      </w:r>
    </w:p>
    <w:p w:rsidR="00236B96" w:rsidRPr="00236B96" w:rsidRDefault="00236B96" w:rsidP="00236B96">
      <w:pPr>
        <w:widowControl/>
        <w:shd w:val="clear" w:color="auto" w:fill="EEF3F9"/>
        <w:jc w:val="left"/>
        <w:rPr>
          <w:rFonts w:ascii="宋体" w:eastAsia="宋体" w:hAnsi="宋体" w:cs="宋体" w:hint="eastAsia"/>
          <w:kern w:val="0"/>
          <w:sz w:val="45"/>
          <w:szCs w:val="45"/>
        </w:rPr>
      </w:pPr>
      <w:r w:rsidRPr="00236B96">
        <w:rPr>
          <w:rFonts w:ascii="宋体" w:eastAsia="宋体" w:hAnsi="宋体" w:cs="宋体"/>
          <w:kern w:val="0"/>
          <w:sz w:val="45"/>
          <w:szCs w:val="45"/>
        </w:rPr>
        <w:t>判断题(共10题,共40分)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49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按我国《证券法》规定，股份公司注册资本须一次募集到位。</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64" type="#_x0000_t75" style="width:20.25pt;height:15.75pt" o:ole="">
                  <v:imagedata r:id="rId4" o:title=""/>
                </v:shape>
                <w:control r:id="rId46" w:name="DefaultOcxName40" w:shapeid="_x0000_i116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63" type="#_x0000_t75" style="width:20.25pt;height:15.75pt" o:ole="">
                  <v:imagedata r:id="rId6" o:title=""/>
                </v:shape>
                <w:control r:id="rId47" w:name="DefaultOcxName41" w:shapeid="_x0000_i116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351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欧洲债券一般是在欧洲范围内发行的债券。</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62" type="#_x0000_t75" style="width:20.25pt;height:15.75pt" o:ole="">
                  <v:imagedata r:id="rId4" o:title=""/>
                </v:shape>
                <w:control r:id="rId48" w:name="DefaultOcxName42" w:shapeid="_x0000_i116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61" type="#_x0000_t75" style="width:20.25pt;height:15.75pt" o:ole="">
                  <v:imagedata r:id="rId6" o:title=""/>
                </v:shape>
                <w:control r:id="rId49" w:name="DefaultOcxName43" w:shapeid="_x0000_i116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22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发行资本不得大于注册资本</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60" type="#_x0000_t75" style="width:20.25pt;height:15.75pt" o:ole="">
                  <v:imagedata r:id="rId6" o:title=""/>
                </v:shape>
                <w:control r:id="rId50" w:name="DefaultOcxName44" w:shapeid="_x0000_i116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9" type="#_x0000_t75" style="width:20.25pt;height:15.75pt" o:ole="">
                  <v:imagedata r:id="rId4" o:title=""/>
                </v:shape>
                <w:control r:id="rId51" w:name="DefaultOcxName45" w:shapeid="_x0000_i115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8396"/>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证券投资的国际变化会酿成世界范围的金融危机，东南亚经济危机的爆发就是个沉重的教训，所以一国证券市场不该对外开放。</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8" type="#_x0000_t75" style="width:20.25pt;height:15.75pt" o:ole="">
                  <v:imagedata r:id="rId4" o:title=""/>
                </v:shape>
                <w:control r:id="rId52" w:name="DefaultOcxName46" w:shapeid="_x0000_i115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7" type="#_x0000_t75" style="width:20.25pt;height:15.75pt" o:ole="">
                  <v:imagedata r:id="rId6" o:title=""/>
                </v:shape>
                <w:control r:id="rId53" w:name="DefaultOcxName47" w:shapeid="_x0000_i115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65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优先股的股息是固定不变的，不随公司经营状况的好坏而调整，到期一定要支付。</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6" type="#_x0000_t75" style="width:20.25pt;height:15.75pt" o:ole="">
                  <v:imagedata r:id="rId4" o:title=""/>
                </v:shape>
                <w:control r:id="rId54" w:name="DefaultOcxName48" w:shapeid="_x0000_i115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5" type="#_x0000_t75" style="width:20.25pt;height:15.75pt" o:ole="">
                  <v:imagedata r:id="rId6" o:title=""/>
                </v:shape>
                <w:control r:id="rId55" w:name="DefaultOcxName49" w:shapeid="_x0000_i115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24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有限股东只具有有限表决权。</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4" type="#_x0000_t75" style="width:20.25pt;height:15.75pt" o:ole="">
                  <v:imagedata r:id="rId4" o:title=""/>
                </v:shape>
                <w:control r:id="rId56" w:name="DefaultOcxName50" w:shapeid="_x0000_i115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3" type="#_x0000_t75" style="width:20.25pt;height:15.75pt" o:ole="">
                  <v:imagedata r:id="rId6" o:title=""/>
                </v:shape>
                <w:control r:id="rId57" w:name="DefaultOcxName51" w:shapeid="_x0000_i115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6165"/>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公司股本总额超过4亿元人民币的，向社会公开发行股票的比例在25%以上。</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2" type="#_x0000_t75" style="width:20.25pt;height:15.75pt" o:ole="">
                  <v:imagedata r:id="rId4" o:title=""/>
                </v:shape>
                <w:control r:id="rId58" w:name="DefaultOcxName52" w:shapeid="_x0000_i115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1" type="#_x0000_t75" style="width:20.25pt;height:15.75pt" o:ole="">
                  <v:imagedata r:id="rId6" o:title=""/>
                </v:shape>
                <w:control r:id="rId59" w:name="DefaultOcxName53" w:shapeid="_x0000_i115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51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股份公司的注册资本须由初始股东全部以现金的形式购买下来。</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50" type="#_x0000_t75" style="width:20.25pt;height:15.75pt" o:ole="">
                  <v:imagedata r:id="rId4" o:title=""/>
                </v:shape>
                <w:control r:id="rId60" w:name="DefaultOcxName54" w:shapeid="_x0000_i115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49" type="#_x0000_t75" style="width:20.25pt;height:15.75pt" o:ole="">
                  <v:imagedata r:id="rId6" o:title=""/>
                </v:shape>
                <w:control r:id="rId61" w:name="DefaultOcxName55" w:shapeid="_x0000_i114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69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以农副产品和外汇收购的方式增加货币供给有利于实现商品流通与货币流通的相适应。</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48" type="#_x0000_t75" style="width:20.25pt;height:15.75pt" o:ole="">
                  <v:imagedata r:id="rId6" o:title=""/>
                </v:shape>
                <w:control r:id="rId62" w:name="DefaultOcxName56" w:shapeid="_x0000_i114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47" type="#_x0000_t75" style="width:20.25pt;height:15.75pt" o:ole="">
                  <v:imagedata r:id="rId4" o:title=""/>
                </v:shape>
                <w:control r:id="rId63" w:name="DefaultOcxName57" w:shapeid="_x0000_i114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42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公司发行股票和债券目的相同，都是为了追加资金。</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46" type="#_x0000_t75" style="width:20.25pt;height:15.75pt" o:ole="">
                  <v:imagedata r:id="rId6" o:title=""/>
                </v:shape>
                <w:control r:id="rId64" w:name="DefaultOcxName58" w:shapeid="_x0000_i114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145" type="#_x0000_t75" style="width:20.25pt;height:15.75pt" o:ole="">
                  <v:imagedata r:id="rId4" o:title=""/>
                </v:shape>
                <w:control r:id="rId65" w:name="DefaultOcxName59" w:shapeid="_x0000_i114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center"/>
        <w:rPr>
          <w:rFonts w:ascii="宋体" w:eastAsia="宋体" w:hAnsi="宋体" w:cs="宋体"/>
          <w:kern w:val="0"/>
          <w:sz w:val="54"/>
          <w:szCs w:val="54"/>
        </w:rPr>
      </w:pPr>
      <w:r w:rsidRPr="00236B96">
        <w:rPr>
          <w:rFonts w:ascii="宋体" w:eastAsia="宋体" w:hAnsi="宋体" w:cs="宋体"/>
          <w:kern w:val="0"/>
          <w:sz w:val="54"/>
          <w:szCs w:val="54"/>
        </w:rPr>
        <w:t>证券投资分析02任务</w:t>
      </w:r>
    </w:p>
    <w:p w:rsidR="00236B96" w:rsidRPr="00236B96" w:rsidRDefault="00236B96" w:rsidP="00236B96">
      <w:pPr>
        <w:widowControl/>
        <w:shd w:val="clear" w:color="auto" w:fill="EEF3F9"/>
        <w:jc w:val="center"/>
        <w:rPr>
          <w:rFonts w:ascii="宋体" w:eastAsia="宋体" w:hAnsi="宋体" w:cs="宋体"/>
          <w:kern w:val="0"/>
          <w:sz w:val="32"/>
          <w:szCs w:val="32"/>
        </w:rPr>
      </w:pPr>
      <w:r w:rsidRPr="00236B96">
        <w:rPr>
          <w:rFonts w:ascii="宋体" w:eastAsia="宋体" w:hAnsi="宋体" w:cs="宋体"/>
          <w:kern w:val="0"/>
          <w:sz w:val="32"/>
          <w:szCs w:val="32"/>
        </w:rPr>
        <w:t>试卷总分：100</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br/>
      </w:r>
      <w:r w:rsidRPr="00236B96">
        <w:rPr>
          <w:rFonts w:ascii="宋体" w:eastAsia="宋体" w:hAnsi="宋体" w:cs="宋体"/>
          <w:kern w:val="0"/>
          <w:sz w:val="45"/>
          <w:szCs w:val="45"/>
        </w:rPr>
        <w:br/>
        <w:t>1</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t>选择题(共10题,共60分)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货币期货的标的物是（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6" type="#_x0000_t75" style="width:20.25pt;height:15.75pt" o:ole="">
            <v:imagedata r:id="rId4" o:title=""/>
          </v:shape>
          <w:control r:id="rId66" w:name="DefaultOcxName60" w:shapeid="_x0000_i1386"/>
        </w:object>
      </w:r>
      <w:r w:rsidRPr="00236B96">
        <w:rPr>
          <w:rFonts w:ascii="宋体" w:eastAsia="宋体" w:hAnsi="宋体" w:cs="宋体" w:hint="eastAsia"/>
          <w:kern w:val="0"/>
          <w:sz w:val="32"/>
          <w:szCs w:val="32"/>
        </w:rPr>
        <w:t>A、股票</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5" type="#_x0000_t75" style="width:20.25pt;height:15.75pt" o:ole="">
            <v:imagedata r:id="rId4" o:title=""/>
          </v:shape>
          <w:control r:id="rId67" w:name="DefaultOcxName110" w:shapeid="_x0000_i1385"/>
        </w:object>
      </w:r>
      <w:r w:rsidRPr="00236B96">
        <w:rPr>
          <w:rFonts w:ascii="宋体" w:eastAsia="宋体" w:hAnsi="宋体" w:cs="宋体" w:hint="eastAsia"/>
          <w:kern w:val="0"/>
          <w:sz w:val="32"/>
          <w:szCs w:val="32"/>
        </w:rPr>
        <w:t>B、股票指数</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4" type="#_x0000_t75" style="width:20.25pt;height:15.75pt" o:ole="">
            <v:imagedata r:id="rId6" o:title=""/>
          </v:shape>
          <w:control r:id="rId68" w:name="DefaultOcxName210" w:shapeid="_x0000_i1384"/>
        </w:object>
      </w:r>
      <w:r w:rsidRPr="00236B96">
        <w:rPr>
          <w:rFonts w:ascii="宋体" w:eastAsia="宋体" w:hAnsi="宋体" w:cs="宋体" w:hint="eastAsia"/>
          <w:kern w:val="0"/>
          <w:sz w:val="32"/>
          <w:szCs w:val="32"/>
        </w:rPr>
        <w:t>C、外汇汇率</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3" type="#_x0000_t75" style="width:20.25pt;height:15.75pt" o:ole="">
            <v:imagedata r:id="rId4" o:title=""/>
          </v:shape>
          <w:control r:id="rId69" w:name="DefaultOcxName310" w:shapeid="_x0000_i1383"/>
        </w:object>
      </w:r>
      <w:r w:rsidRPr="00236B96">
        <w:rPr>
          <w:rFonts w:ascii="宋体" w:eastAsia="宋体" w:hAnsi="宋体" w:cs="宋体" w:hint="eastAsia"/>
          <w:kern w:val="0"/>
          <w:sz w:val="32"/>
          <w:szCs w:val="32"/>
        </w:rPr>
        <w:t>D、利率</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2.(6分)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期权的（ ）无需缴纳保证金在交易所。</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2" type="#_x0000_t75" style="width:20.25pt;height:15.75pt" o:ole="">
            <v:imagedata r:id="rId6" o:title=""/>
          </v:shape>
          <w:control r:id="rId70" w:name="DefaultOcxName410" w:shapeid="_x0000_i1382"/>
        </w:object>
      </w:r>
      <w:r w:rsidRPr="00236B96">
        <w:rPr>
          <w:rFonts w:ascii="宋体" w:eastAsia="宋体" w:hAnsi="宋体" w:cs="宋体" w:hint="eastAsia"/>
          <w:kern w:val="0"/>
          <w:sz w:val="32"/>
          <w:szCs w:val="32"/>
        </w:rPr>
        <w:t>A、买方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1" type="#_x0000_t75" style="width:20.25pt;height:15.75pt" o:ole="">
            <v:imagedata r:id="rId4" o:title=""/>
          </v:shape>
          <w:control r:id="rId71" w:name="DefaultOcxName510" w:shapeid="_x0000_i1381"/>
        </w:object>
      </w:r>
      <w:r w:rsidRPr="00236B96">
        <w:rPr>
          <w:rFonts w:ascii="宋体" w:eastAsia="宋体" w:hAnsi="宋体" w:cs="宋体" w:hint="eastAsia"/>
          <w:kern w:val="0"/>
          <w:sz w:val="32"/>
          <w:szCs w:val="32"/>
        </w:rPr>
        <w:t>B、买卖双方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80" type="#_x0000_t75" style="width:20.25pt;height:15.75pt" o:ole="">
            <v:imagedata r:id="rId4" o:title=""/>
          </v:shape>
          <w:control r:id="rId72" w:name="DefaultOcxName61" w:shapeid="_x0000_i1380"/>
        </w:object>
      </w:r>
      <w:r w:rsidRPr="00236B96">
        <w:rPr>
          <w:rFonts w:ascii="宋体" w:eastAsia="宋体" w:hAnsi="宋体" w:cs="宋体" w:hint="eastAsia"/>
          <w:kern w:val="0"/>
          <w:sz w:val="32"/>
          <w:szCs w:val="32"/>
        </w:rPr>
        <w:t>C、买方或者卖方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9" type="#_x0000_t75" style="width:20.25pt;height:15.75pt" o:ole="">
            <v:imagedata r:id="rId4" o:title=""/>
          </v:shape>
          <w:control r:id="rId73" w:name="DefaultOcxName71" w:shapeid="_x0000_i1379"/>
        </w:object>
      </w:r>
      <w:r w:rsidRPr="00236B96">
        <w:rPr>
          <w:rFonts w:ascii="宋体" w:eastAsia="宋体" w:hAnsi="宋体" w:cs="宋体" w:hint="eastAsia"/>
          <w:kern w:val="0"/>
          <w:sz w:val="32"/>
          <w:szCs w:val="32"/>
        </w:rPr>
        <w:t>D、卖方</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3.(6分)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期权价格是以（ ）为调整依据。</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8" type="#_x0000_t75" style="width:20.25pt;height:15.75pt" o:ole="">
            <v:imagedata r:id="rId6" o:title=""/>
          </v:shape>
          <w:control r:id="rId74" w:name="DefaultOcxName81" w:shapeid="_x0000_i1378"/>
        </w:object>
      </w:r>
      <w:r w:rsidRPr="00236B96">
        <w:rPr>
          <w:rFonts w:ascii="宋体" w:eastAsia="宋体" w:hAnsi="宋体" w:cs="宋体" w:hint="eastAsia"/>
          <w:kern w:val="0"/>
          <w:sz w:val="32"/>
          <w:szCs w:val="32"/>
        </w:rPr>
        <w:t>A、买方利益</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7" type="#_x0000_t75" style="width:20.25pt;height:15.75pt" o:ole="">
            <v:imagedata r:id="rId4" o:title=""/>
          </v:shape>
          <w:control r:id="rId75" w:name="DefaultOcxName91" w:shapeid="_x0000_i1377"/>
        </w:object>
      </w:r>
      <w:r w:rsidRPr="00236B96">
        <w:rPr>
          <w:rFonts w:ascii="宋体" w:eastAsia="宋体" w:hAnsi="宋体" w:cs="宋体" w:hint="eastAsia"/>
          <w:kern w:val="0"/>
          <w:sz w:val="32"/>
          <w:szCs w:val="32"/>
        </w:rPr>
        <w:t>B、卖方利益</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6" type="#_x0000_t75" style="width:20.25pt;height:15.75pt" o:ole="">
            <v:imagedata r:id="rId4" o:title=""/>
          </v:shape>
          <w:control r:id="rId76" w:name="DefaultOcxName101" w:shapeid="_x0000_i1376"/>
        </w:object>
      </w:r>
      <w:r w:rsidRPr="00236B96">
        <w:rPr>
          <w:rFonts w:ascii="宋体" w:eastAsia="宋体" w:hAnsi="宋体" w:cs="宋体" w:hint="eastAsia"/>
          <w:kern w:val="0"/>
          <w:sz w:val="32"/>
          <w:szCs w:val="32"/>
        </w:rPr>
        <w:t>C、买卖两方共同利益</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5" type="#_x0000_t75" style="width:20.25pt;height:15.75pt" o:ole="">
            <v:imagedata r:id="rId4" o:title=""/>
          </v:shape>
          <w:control r:id="rId77" w:name="DefaultOcxName111" w:shapeid="_x0000_i1375"/>
        </w:object>
      </w:r>
      <w:r w:rsidRPr="00236B96">
        <w:rPr>
          <w:rFonts w:ascii="宋体" w:eastAsia="宋体" w:hAnsi="宋体" w:cs="宋体" w:hint="eastAsia"/>
          <w:kern w:val="0"/>
          <w:sz w:val="32"/>
          <w:szCs w:val="32"/>
        </w:rPr>
        <w:t>D、无具体规定，买方、卖方均可</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4.(6分)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 ）不是期货合约中应该包括的内容。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4" type="#_x0000_t75" style="width:20.25pt;height:15.75pt" o:ole="">
            <v:imagedata r:id="rId6" o:title=""/>
          </v:shape>
          <w:control r:id="rId78" w:name="DefaultOcxName121" w:shapeid="_x0000_i1374"/>
        </w:object>
      </w:r>
      <w:r w:rsidRPr="00236B96">
        <w:rPr>
          <w:rFonts w:ascii="宋体" w:eastAsia="宋体" w:hAnsi="宋体" w:cs="宋体" w:hint="eastAsia"/>
          <w:kern w:val="0"/>
          <w:sz w:val="32"/>
          <w:szCs w:val="32"/>
        </w:rPr>
        <w:t>A、交易规格</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3" type="#_x0000_t75" style="width:20.25pt;height:15.75pt" o:ole="">
            <v:imagedata r:id="rId4" o:title=""/>
          </v:shape>
          <w:control r:id="rId79" w:name="DefaultOcxName131" w:shapeid="_x0000_i1373"/>
        </w:object>
      </w:r>
      <w:r w:rsidRPr="00236B96">
        <w:rPr>
          <w:rFonts w:ascii="宋体" w:eastAsia="宋体" w:hAnsi="宋体" w:cs="宋体" w:hint="eastAsia"/>
          <w:kern w:val="0"/>
          <w:sz w:val="32"/>
          <w:szCs w:val="32"/>
        </w:rPr>
        <w:t>B、交易价格</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2" type="#_x0000_t75" style="width:20.25pt;height:15.75pt" o:ole="">
            <v:imagedata r:id="rId4" o:title=""/>
          </v:shape>
          <w:control r:id="rId80" w:name="DefaultOcxName141" w:shapeid="_x0000_i1372"/>
        </w:object>
      </w:r>
      <w:r w:rsidRPr="00236B96">
        <w:rPr>
          <w:rFonts w:ascii="宋体" w:eastAsia="宋体" w:hAnsi="宋体" w:cs="宋体" w:hint="eastAsia"/>
          <w:kern w:val="0"/>
          <w:sz w:val="32"/>
          <w:szCs w:val="32"/>
        </w:rPr>
        <w:t>C、交易数量</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1" type="#_x0000_t75" style="width:20.25pt;height:15.75pt" o:ole="">
            <v:imagedata r:id="rId4" o:title=""/>
          </v:shape>
          <w:control r:id="rId81" w:name="DefaultOcxName151" w:shapeid="_x0000_i1371"/>
        </w:object>
      </w:r>
      <w:r w:rsidRPr="00236B96">
        <w:rPr>
          <w:rFonts w:ascii="宋体" w:eastAsia="宋体" w:hAnsi="宋体" w:cs="宋体" w:hint="eastAsia"/>
          <w:kern w:val="0"/>
          <w:sz w:val="32"/>
          <w:szCs w:val="32"/>
        </w:rPr>
        <w:t>D、交易品种</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5.(6分)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我国曾于1993年开展金融衍生交易（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70" type="#_x0000_t75" style="width:20.25pt;height:15.75pt" o:ole="">
            <v:imagedata r:id="rId4" o:title=""/>
          </v:shape>
          <w:control r:id="rId82" w:name="DefaultOcxName161" w:shapeid="_x0000_i1370"/>
        </w:object>
      </w:r>
      <w:r w:rsidRPr="00236B96">
        <w:rPr>
          <w:rFonts w:ascii="宋体" w:eastAsia="宋体" w:hAnsi="宋体" w:cs="宋体" w:hint="eastAsia"/>
          <w:kern w:val="0"/>
          <w:sz w:val="32"/>
          <w:szCs w:val="32"/>
        </w:rPr>
        <w:t>A、利率期货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9" type="#_x0000_t75" style="width:20.25pt;height:15.75pt" o:ole="">
            <v:imagedata r:id="rId6" o:title=""/>
          </v:shape>
          <w:control r:id="rId83" w:name="DefaultOcxName171" w:shapeid="_x0000_i1369"/>
        </w:object>
      </w:r>
      <w:r w:rsidRPr="00236B96">
        <w:rPr>
          <w:rFonts w:ascii="宋体" w:eastAsia="宋体" w:hAnsi="宋体" w:cs="宋体" w:hint="eastAsia"/>
          <w:kern w:val="0"/>
          <w:sz w:val="32"/>
          <w:szCs w:val="32"/>
        </w:rPr>
        <w:t>B、国债期货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8" type="#_x0000_t75" style="width:20.25pt;height:15.75pt" o:ole="">
            <v:imagedata r:id="rId4" o:title=""/>
          </v:shape>
          <w:control r:id="rId84" w:name="DefaultOcxName181" w:shapeid="_x0000_i1368"/>
        </w:object>
      </w:r>
      <w:r w:rsidRPr="00236B96">
        <w:rPr>
          <w:rFonts w:ascii="宋体" w:eastAsia="宋体" w:hAnsi="宋体" w:cs="宋体" w:hint="eastAsia"/>
          <w:kern w:val="0"/>
          <w:sz w:val="32"/>
          <w:szCs w:val="32"/>
        </w:rPr>
        <w:t>C、股指期货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7" type="#_x0000_t75" style="width:20.25pt;height:15.75pt" o:ole="">
            <v:imagedata r:id="rId4" o:title=""/>
          </v:shape>
          <w:control r:id="rId85" w:name="DefaultOcxName191" w:shapeid="_x0000_i1367"/>
        </w:object>
      </w:r>
      <w:r w:rsidRPr="00236B96">
        <w:rPr>
          <w:rFonts w:ascii="宋体" w:eastAsia="宋体" w:hAnsi="宋体" w:cs="宋体" w:hint="eastAsia"/>
          <w:kern w:val="0"/>
          <w:sz w:val="32"/>
          <w:szCs w:val="32"/>
        </w:rPr>
        <w:t>D、外汇期货</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6.(6分)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看跌期权的协定价于期权费呈（ ）变化。</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6" type="#_x0000_t75" style="width:20.25pt;height:15.75pt" o:ole="">
            <v:imagedata r:id="rId4" o:title=""/>
          </v:shape>
          <w:control r:id="rId86" w:name="DefaultOcxName201" w:shapeid="_x0000_i1366"/>
        </w:object>
      </w:r>
      <w:r w:rsidRPr="00236B96">
        <w:rPr>
          <w:rFonts w:ascii="宋体" w:eastAsia="宋体" w:hAnsi="宋体" w:cs="宋体" w:hint="eastAsia"/>
          <w:kern w:val="0"/>
          <w:sz w:val="32"/>
          <w:szCs w:val="32"/>
        </w:rPr>
        <w:t>A、反向</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5" type="#_x0000_t75" style="width:20.25pt;height:15.75pt" o:ole="">
            <v:imagedata r:id="rId4" o:title=""/>
          </v:shape>
          <w:control r:id="rId87" w:name="DefaultOcxName211" w:shapeid="_x0000_i1365"/>
        </w:object>
      </w:r>
      <w:r w:rsidRPr="00236B96">
        <w:rPr>
          <w:rFonts w:ascii="宋体" w:eastAsia="宋体" w:hAnsi="宋体" w:cs="宋体" w:hint="eastAsia"/>
          <w:kern w:val="0"/>
          <w:sz w:val="32"/>
          <w:szCs w:val="32"/>
        </w:rPr>
        <w:t>B、无规律性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4" type="#_x0000_t75" style="width:20.25pt;height:15.75pt" o:ole="">
            <v:imagedata r:id="rId6" o:title=""/>
          </v:shape>
          <w:control r:id="rId88" w:name="DefaultOcxName221" w:shapeid="_x0000_i1364"/>
        </w:object>
      </w:r>
      <w:r w:rsidRPr="00236B96">
        <w:rPr>
          <w:rFonts w:ascii="宋体" w:eastAsia="宋体" w:hAnsi="宋体" w:cs="宋体" w:hint="eastAsia"/>
          <w:kern w:val="0"/>
          <w:sz w:val="32"/>
          <w:szCs w:val="32"/>
        </w:rPr>
        <w:t>C、同向</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3" type="#_x0000_t75" style="width:20.25pt;height:15.75pt" o:ole="">
            <v:imagedata r:id="rId4" o:title=""/>
          </v:shape>
          <w:control r:id="rId89" w:name="DefaultOcxName231" w:shapeid="_x0000_i1363"/>
        </w:object>
      </w:r>
      <w:r w:rsidRPr="00236B96">
        <w:rPr>
          <w:rFonts w:ascii="宋体" w:eastAsia="宋体" w:hAnsi="宋体" w:cs="宋体" w:hint="eastAsia"/>
          <w:kern w:val="0"/>
          <w:sz w:val="32"/>
          <w:szCs w:val="32"/>
        </w:rPr>
        <w:t>D、循环</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7.(6分)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涨跌停板制度通常规定（ ）为当日行情波动的中点。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2" type="#_x0000_t75" style="width:20.25pt;height:15.75pt" o:ole="">
            <v:imagedata r:id="rId6" o:title=""/>
          </v:shape>
          <w:control r:id="rId90" w:name="DefaultOcxName241" w:shapeid="_x0000_i1362"/>
        </w:object>
      </w:r>
      <w:r w:rsidRPr="00236B96">
        <w:rPr>
          <w:rFonts w:ascii="宋体" w:eastAsia="宋体" w:hAnsi="宋体" w:cs="宋体" w:hint="eastAsia"/>
          <w:kern w:val="0"/>
          <w:sz w:val="32"/>
          <w:szCs w:val="32"/>
        </w:rPr>
        <w:t>A、前一交易日的收盘价</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1" type="#_x0000_t75" style="width:20.25pt;height:15.75pt" o:ole="">
            <v:imagedata r:id="rId4" o:title=""/>
          </v:shape>
          <w:control r:id="rId91" w:name="DefaultOcxName251" w:shapeid="_x0000_i1361"/>
        </w:object>
      </w:r>
      <w:r w:rsidRPr="00236B96">
        <w:rPr>
          <w:rFonts w:ascii="宋体" w:eastAsia="宋体" w:hAnsi="宋体" w:cs="宋体" w:hint="eastAsia"/>
          <w:kern w:val="0"/>
          <w:sz w:val="32"/>
          <w:szCs w:val="32"/>
        </w:rPr>
        <w:t>B、前一交易日的最低价</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60" type="#_x0000_t75" style="width:20.25pt;height:15.75pt" o:ole="">
            <v:imagedata r:id="rId4" o:title=""/>
          </v:shape>
          <w:control r:id="rId92" w:name="DefaultOcxName261" w:shapeid="_x0000_i1360"/>
        </w:object>
      </w:r>
      <w:r w:rsidRPr="00236B96">
        <w:rPr>
          <w:rFonts w:ascii="宋体" w:eastAsia="宋体" w:hAnsi="宋体" w:cs="宋体" w:hint="eastAsia"/>
          <w:kern w:val="0"/>
          <w:sz w:val="32"/>
          <w:szCs w:val="32"/>
        </w:rPr>
        <w:t>C、前一交易日的结算价</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9" type="#_x0000_t75" style="width:20.25pt;height:15.75pt" o:ole="">
            <v:imagedata r:id="rId4" o:title=""/>
          </v:shape>
          <w:control r:id="rId93" w:name="DefaultOcxName271" w:shapeid="_x0000_i1359"/>
        </w:object>
      </w:r>
      <w:r w:rsidRPr="00236B96">
        <w:rPr>
          <w:rFonts w:ascii="宋体" w:eastAsia="宋体" w:hAnsi="宋体" w:cs="宋体" w:hint="eastAsia"/>
          <w:kern w:val="0"/>
          <w:sz w:val="32"/>
          <w:szCs w:val="32"/>
        </w:rPr>
        <w:t>D、前一交易日的开盘价</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8.(6分)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在期权合约的内容中，最重要的是（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8" type="#_x0000_t75" style="width:20.25pt;height:15.75pt" o:ole="">
            <v:imagedata r:id="rId4" o:title=""/>
          </v:shape>
          <w:control r:id="rId94" w:name="DefaultOcxName281" w:shapeid="_x0000_i1358"/>
        </w:object>
      </w:r>
      <w:r w:rsidRPr="00236B96">
        <w:rPr>
          <w:rFonts w:ascii="宋体" w:eastAsia="宋体" w:hAnsi="宋体" w:cs="宋体" w:hint="eastAsia"/>
          <w:kern w:val="0"/>
          <w:sz w:val="32"/>
          <w:szCs w:val="32"/>
        </w:rPr>
        <w:t>A、期权费</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7" type="#_x0000_t75" style="width:20.25pt;height:15.75pt" o:ole="">
            <v:imagedata r:id="rId4" o:title=""/>
          </v:shape>
          <w:control r:id="rId95" w:name="DefaultOcxName291" w:shapeid="_x0000_i1357"/>
        </w:object>
      </w:r>
      <w:r w:rsidRPr="00236B96">
        <w:rPr>
          <w:rFonts w:ascii="宋体" w:eastAsia="宋体" w:hAnsi="宋体" w:cs="宋体" w:hint="eastAsia"/>
          <w:kern w:val="0"/>
          <w:sz w:val="32"/>
          <w:szCs w:val="32"/>
        </w:rPr>
        <w:t>B、协定价格</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6" type="#_x0000_t75" style="width:20.25pt;height:15.75pt" o:ole="">
            <v:imagedata r:id="rId4" o:title=""/>
          </v:shape>
          <w:control r:id="rId96" w:name="DefaultOcxName301" w:shapeid="_x0000_i1356"/>
        </w:object>
      </w:r>
      <w:r w:rsidRPr="00236B96">
        <w:rPr>
          <w:rFonts w:ascii="宋体" w:eastAsia="宋体" w:hAnsi="宋体" w:cs="宋体" w:hint="eastAsia"/>
          <w:kern w:val="0"/>
          <w:sz w:val="32"/>
          <w:szCs w:val="32"/>
        </w:rPr>
        <w:t>C、合约期限</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5" type="#_x0000_t75" style="width:20.25pt;height:15.75pt" o:ole="">
            <v:imagedata r:id="rId6" o:title=""/>
          </v:shape>
          <w:control r:id="rId97" w:name="DefaultOcxName311" w:shapeid="_x0000_i1355"/>
        </w:object>
      </w:r>
      <w:r w:rsidRPr="00236B96">
        <w:rPr>
          <w:rFonts w:ascii="宋体" w:eastAsia="宋体" w:hAnsi="宋体" w:cs="宋体" w:hint="eastAsia"/>
          <w:kern w:val="0"/>
          <w:sz w:val="32"/>
          <w:szCs w:val="32"/>
        </w:rPr>
        <w:t>D、合约数量</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9.(6分)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对看跌期权的买方而言，当（ ）时买方会放弃执行权利。</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4" type="#_x0000_t75" style="width:20.25pt;height:15.75pt" o:ole="">
            <v:imagedata r:id="rId6" o:title=""/>
          </v:shape>
          <w:control r:id="rId98" w:name="DefaultOcxName321" w:shapeid="_x0000_i1354"/>
        </w:object>
      </w:r>
      <w:r w:rsidRPr="00236B96">
        <w:rPr>
          <w:rFonts w:ascii="宋体" w:eastAsia="宋体" w:hAnsi="宋体" w:cs="宋体" w:hint="eastAsia"/>
          <w:kern w:val="0"/>
          <w:sz w:val="32"/>
          <w:szCs w:val="32"/>
        </w:rPr>
        <w:t>A、标的资产市场价格高于协定价</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3" type="#_x0000_t75" style="width:20.25pt;height:15.75pt" o:ole="">
            <v:imagedata r:id="rId4" o:title=""/>
          </v:shape>
          <w:control r:id="rId99" w:name="DefaultOcxName331" w:shapeid="_x0000_i1353"/>
        </w:object>
      </w:r>
      <w:r w:rsidRPr="00236B96">
        <w:rPr>
          <w:rFonts w:ascii="宋体" w:eastAsia="宋体" w:hAnsi="宋体" w:cs="宋体" w:hint="eastAsia"/>
          <w:kern w:val="0"/>
          <w:sz w:val="32"/>
          <w:szCs w:val="32"/>
        </w:rPr>
        <w:t>B、标的资产市场价格低于协定价</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2" type="#_x0000_t75" style="width:20.25pt;height:15.75pt" o:ole="">
            <v:imagedata r:id="rId4" o:title=""/>
          </v:shape>
          <w:control r:id="rId100" w:name="DefaultOcxName341" w:shapeid="_x0000_i1352"/>
        </w:object>
      </w:r>
      <w:r w:rsidRPr="00236B96">
        <w:rPr>
          <w:rFonts w:ascii="宋体" w:eastAsia="宋体" w:hAnsi="宋体" w:cs="宋体" w:hint="eastAsia"/>
          <w:kern w:val="0"/>
          <w:sz w:val="32"/>
          <w:szCs w:val="32"/>
        </w:rPr>
        <w:t>C、与协定价无关</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1" type="#_x0000_t75" style="width:20.25pt;height:15.75pt" o:ole="">
            <v:imagedata r:id="rId4" o:title=""/>
          </v:shape>
          <w:control r:id="rId101" w:name="DefaultOcxName351" w:shapeid="_x0000_i1351"/>
        </w:object>
      </w:r>
      <w:r w:rsidRPr="00236B96">
        <w:rPr>
          <w:rFonts w:ascii="宋体" w:eastAsia="宋体" w:hAnsi="宋体" w:cs="宋体" w:hint="eastAsia"/>
          <w:kern w:val="0"/>
          <w:sz w:val="32"/>
          <w:szCs w:val="32"/>
        </w:rPr>
        <w:t>D、标的资产市场价格小于或者等于协定价</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10.(6分)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如果其他因素保持不变，在相同的协定价格下，远期期权的期权费应该比近期权的期权费（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50" type="#_x0000_t75" style="width:20.25pt;height:15.75pt" o:ole="">
            <v:imagedata r:id="rId4" o:title=""/>
          </v:shape>
          <w:control r:id="rId102" w:name="DefaultOcxName361" w:shapeid="_x0000_i1350"/>
        </w:object>
      </w:r>
      <w:r w:rsidRPr="00236B96">
        <w:rPr>
          <w:rFonts w:ascii="宋体" w:eastAsia="宋体" w:hAnsi="宋体" w:cs="宋体" w:hint="eastAsia"/>
          <w:kern w:val="0"/>
          <w:sz w:val="32"/>
          <w:szCs w:val="32"/>
        </w:rPr>
        <w:t>A、低</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49" type="#_x0000_t75" style="width:20.25pt;height:15.75pt" o:ole="">
            <v:imagedata r:id="rId4" o:title=""/>
          </v:shape>
          <w:control r:id="rId103" w:name="DefaultOcxName371" w:shapeid="_x0000_i1349"/>
        </w:object>
      </w:r>
      <w:r w:rsidRPr="00236B96">
        <w:rPr>
          <w:rFonts w:ascii="宋体" w:eastAsia="宋体" w:hAnsi="宋体" w:cs="宋体" w:hint="eastAsia"/>
          <w:kern w:val="0"/>
          <w:sz w:val="32"/>
          <w:szCs w:val="32"/>
        </w:rPr>
        <w:t>B、相等</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48" type="#_x0000_t75" style="width:20.25pt;height:15.75pt" o:ole="">
            <v:imagedata r:id="rId6" o:title=""/>
          </v:shape>
          <w:control r:id="rId104" w:name="DefaultOcxName381" w:shapeid="_x0000_i1348"/>
        </w:object>
      </w:r>
      <w:r w:rsidRPr="00236B96">
        <w:rPr>
          <w:rFonts w:ascii="宋体" w:eastAsia="宋体" w:hAnsi="宋体" w:cs="宋体" w:hint="eastAsia"/>
          <w:kern w:val="0"/>
          <w:sz w:val="32"/>
          <w:szCs w:val="32"/>
        </w:rPr>
        <w:t>C、高</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347" type="#_x0000_t75" style="width:20.25pt;height:15.75pt" o:ole="">
            <v:imagedata r:id="rId4" o:title=""/>
          </v:shape>
          <w:control r:id="rId105" w:name="DefaultOcxName391" w:shapeid="_x0000_i1347"/>
        </w:object>
      </w:r>
      <w:r w:rsidRPr="00236B96">
        <w:rPr>
          <w:rFonts w:ascii="宋体" w:eastAsia="宋体" w:hAnsi="宋体" w:cs="宋体" w:hint="eastAsia"/>
          <w:kern w:val="0"/>
          <w:sz w:val="32"/>
          <w:szCs w:val="32"/>
        </w:rPr>
        <w:t>D、可能高，也可能低</w:t>
      </w:r>
    </w:p>
    <w:p w:rsidR="00236B96" w:rsidRPr="00236B96" w:rsidRDefault="00236B96" w:rsidP="00236B96">
      <w:pPr>
        <w:widowControl/>
        <w:shd w:val="clear" w:color="auto" w:fill="EEF3F9"/>
        <w:jc w:val="left"/>
        <w:rPr>
          <w:rFonts w:ascii="宋体" w:eastAsia="宋体" w:hAnsi="宋体" w:cs="宋体" w:hint="eastAsia"/>
          <w:kern w:val="0"/>
          <w:sz w:val="45"/>
          <w:szCs w:val="45"/>
        </w:rPr>
      </w:pPr>
      <w:r w:rsidRPr="00236B96">
        <w:rPr>
          <w:rFonts w:ascii="宋体" w:eastAsia="宋体" w:hAnsi="宋体" w:cs="宋体"/>
          <w:kern w:val="0"/>
          <w:sz w:val="45"/>
          <w:szCs w:val="45"/>
        </w:rPr>
        <w:t>判断题(共10题,共40分)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67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当客户卖出ADR而无人买入时，客户必须等到有人买入时才可以将手中的ADR卖出。</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6" type="#_x0000_t75" style="width:20.25pt;height:15.75pt" o:ole="">
                  <v:imagedata r:id="rId6" o:title=""/>
                </v:shape>
                <w:control r:id="rId106" w:name="DefaultOcxName401" w:shapeid="_x0000_i134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5" type="#_x0000_t75" style="width:20.25pt;height:15.75pt" o:ole="">
                  <v:imagedata r:id="rId4" o:title=""/>
                </v:shape>
                <w:control r:id="rId107" w:name="DefaultOcxName411" w:shapeid="_x0000_i134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49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可转换债券的转换价格可以随着股票市场价格的变化而调整。</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4" type="#_x0000_t75" style="width:20.25pt;height:15.75pt" o:ole="">
                  <v:imagedata r:id="rId6" o:title=""/>
                </v:shape>
                <w:control r:id="rId108" w:name="DefaultOcxName421" w:shapeid="_x0000_i134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3" type="#_x0000_t75" style="width:20.25pt;height:15.75pt" o:ole="">
                  <v:imagedata r:id="rId4" o:title=""/>
                </v:shape>
                <w:control r:id="rId109" w:name="DefaultOcxName431" w:shapeid="_x0000_i134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4905"/>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H股上市公司上市后公司股票的市价必须高于10000万港元。</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2" type="#_x0000_t75" style="width:20.25pt;height:15.75pt" o:ole="">
                  <v:imagedata r:id="rId4" o:title=""/>
                </v:shape>
                <w:control r:id="rId110" w:name="DefaultOcxName441" w:shapeid="_x0000_i134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1" type="#_x0000_t75" style="width:20.25pt;height:15.75pt" o:ole="">
                  <v:imagedata r:id="rId6" o:title=""/>
                </v:shape>
                <w:control r:id="rId111" w:name="DefaultOcxName451" w:shapeid="_x0000_i134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42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期权的最终执行权在卖方，而买方只有履约的义务。</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40" type="#_x0000_t75" style="width:20.25pt;height:15.75pt" o:ole="">
                  <v:imagedata r:id="rId4" o:title=""/>
                </v:shape>
                <w:control r:id="rId112" w:name="DefaultOcxName461" w:shapeid="_x0000_i134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9" type="#_x0000_t75" style="width:20.25pt;height:15.75pt" o:ole="">
                  <v:imagedata r:id="rId6" o:title=""/>
                </v:shape>
                <w:control r:id="rId113" w:name="DefaultOcxName471" w:shapeid="_x0000_i133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639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理论上讲，在期权交易中，买方所承担的风险是有限的，而获利空间是无限的。</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8" type="#_x0000_t75" style="width:20.25pt;height:15.75pt" o:ole="">
                  <v:imagedata r:id="rId6" o:title=""/>
                </v:shape>
                <w:control r:id="rId114" w:name="DefaultOcxName481" w:shapeid="_x0000_i133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7" type="#_x0000_t75" style="width:20.25pt;height:15.75pt" o:ole="">
                  <v:imagedata r:id="rId4" o:title=""/>
                </v:shape>
                <w:control r:id="rId115" w:name="DefaultOcxName491" w:shapeid="_x0000_i133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65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期权买入方支付期权费可购买看涨期权，期权卖出方支付期权费可卖出看跌期权。</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6" type="#_x0000_t75" style="width:20.25pt;height:15.75pt" o:ole="">
                  <v:imagedata r:id="rId4" o:title=""/>
                </v:shape>
                <w:control r:id="rId116" w:name="DefaultOcxName501" w:shapeid="_x0000_i133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5" type="#_x0000_t75" style="width:20.25pt;height:15.75pt" o:ole="">
                  <v:imagedata r:id="rId6" o:title=""/>
                </v:shape>
                <w:control r:id="rId117" w:name="DefaultOcxName511" w:shapeid="_x0000_i133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29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远期外汇交易合约的流动性比较强。</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4" type="#_x0000_t75" style="width:20.25pt;height:15.75pt" o:ole="">
                  <v:imagedata r:id="rId4" o:title=""/>
                </v:shape>
                <w:control r:id="rId118" w:name="DefaultOcxName521" w:shapeid="_x0000_i133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3" type="#_x0000_t75" style="width:20.25pt;height:15.75pt" o:ole="">
                  <v:imagedata r:id="rId6" o:title=""/>
                </v:shape>
                <w:control r:id="rId119" w:name="DefaultOcxName531" w:shapeid="_x0000_i133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42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激励功能是金融衍生工具的衍生（延伸）功能之一。</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2" type="#_x0000_t75" style="width:20.25pt;height:15.75pt" o:ole="">
                  <v:imagedata r:id="rId6" o:title=""/>
                </v:shape>
                <w:control r:id="rId120" w:name="DefaultOcxName541" w:shapeid="_x0000_i133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1" type="#_x0000_t75" style="width:20.25pt;height:15.75pt" o:ole="">
                  <v:imagedata r:id="rId4" o:title=""/>
                </v:shape>
                <w:control r:id="rId121" w:name="DefaultOcxName551" w:shapeid="_x0000_i133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8396"/>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从国际惯例来看，在交易所进行的股票交易，在场外柜台进行股票交易都是股票的上市（交易），而我国通常意义的股票交易都是在证券交易所进行的股票交易。</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30" type="#_x0000_t75" style="width:20.25pt;height:15.75pt" o:ole="">
                  <v:imagedata r:id="rId6" o:title=""/>
                </v:shape>
                <w:control r:id="rId122" w:name="DefaultOcxName561" w:shapeid="_x0000_i133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29" type="#_x0000_t75" style="width:20.25pt;height:15.75pt" o:ole="">
                  <v:imagedata r:id="rId4" o:title=""/>
                </v:shape>
                <w:control r:id="rId123" w:name="DefaultOcxName571" w:shapeid="_x0000_i132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729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看涨期权的协定价格与期权费成正比例变化，看跌期权的协定价格与期权费成反比例变化。</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28" type="#_x0000_t75" style="width:20.25pt;height:15.75pt" o:ole="">
                  <v:imagedata r:id="rId4" o:title=""/>
                </v:shape>
                <w:control r:id="rId124" w:name="DefaultOcxName581" w:shapeid="_x0000_i132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327" type="#_x0000_t75" style="width:20.25pt;height:15.75pt" o:ole="">
                  <v:imagedata r:id="rId6" o:title=""/>
                </v:shape>
                <w:control r:id="rId125" w:name="DefaultOcxName591" w:shapeid="_x0000_i132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center"/>
        <w:rPr>
          <w:rFonts w:ascii="宋体" w:eastAsia="宋体" w:hAnsi="宋体" w:cs="宋体"/>
          <w:kern w:val="0"/>
          <w:sz w:val="54"/>
          <w:szCs w:val="54"/>
        </w:rPr>
      </w:pPr>
      <w:r w:rsidRPr="00236B96">
        <w:rPr>
          <w:rFonts w:ascii="宋体" w:eastAsia="宋体" w:hAnsi="宋体" w:cs="宋体"/>
          <w:kern w:val="0"/>
          <w:sz w:val="54"/>
          <w:szCs w:val="54"/>
        </w:rPr>
        <w:t>证券投资分析03任务</w:t>
      </w:r>
    </w:p>
    <w:p w:rsidR="00236B96" w:rsidRPr="00236B96" w:rsidRDefault="00236B96" w:rsidP="00236B96">
      <w:pPr>
        <w:widowControl/>
        <w:shd w:val="clear" w:color="auto" w:fill="EEF3F9"/>
        <w:jc w:val="center"/>
        <w:rPr>
          <w:rFonts w:ascii="宋体" w:eastAsia="宋体" w:hAnsi="宋体" w:cs="宋体"/>
          <w:kern w:val="0"/>
          <w:sz w:val="32"/>
          <w:szCs w:val="32"/>
        </w:rPr>
      </w:pPr>
      <w:r w:rsidRPr="00236B96">
        <w:rPr>
          <w:rFonts w:ascii="宋体" w:eastAsia="宋体" w:hAnsi="宋体" w:cs="宋体"/>
          <w:kern w:val="0"/>
          <w:sz w:val="32"/>
          <w:szCs w:val="32"/>
        </w:rPr>
        <w:t>试卷总分：100</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br/>
      </w:r>
      <w:r w:rsidRPr="00236B96">
        <w:rPr>
          <w:rFonts w:ascii="宋体" w:eastAsia="宋体" w:hAnsi="宋体" w:cs="宋体"/>
          <w:kern w:val="0"/>
          <w:sz w:val="45"/>
          <w:szCs w:val="45"/>
        </w:rPr>
        <w:br/>
        <w:t>1</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t>选择题(共10题,共60分)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移动平均线呈空头排列时的情况是（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8" type="#_x0000_t75" style="width:20.25pt;height:15.75pt" o:ole="">
            <v:imagedata r:id="rId6" o:title=""/>
          </v:shape>
          <w:control r:id="rId126" w:name="DefaultOcxName63" w:shapeid="_x0000_i1568"/>
        </w:object>
      </w:r>
      <w:r w:rsidRPr="00236B96">
        <w:rPr>
          <w:rFonts w:ascii="宋体" w:eastAsia="宋体" w:hAnsi="宋体" w:cs="宋体" w:hint="eastAsia"/>
          <w:kern w:val="0"/>
          <w:sz w:val="32"/>
          <w:szCs w:val="32"/>
        </w:rPr>
        <w:t>A、股票价格、短期均线、中期均线、长期均线自上而下依次排列</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7" type="#_x0000_t75" style="width:20.25pt;height:15.75pt" o:ole="">
            <v:imagedata r:id="rId4" o:title=""/>
          </v:shape>
          <w:control r:id="rId127" w:name="DefaultOcxName113" w:shapeid="_x0000_i1567"/>
        </w:object>
      </w:r>
      <w:r w:rsidRPr="00236B96">
        <w:rPr>
          <w:rFonts w:ascii="宋体" w:eastAsia="宋体" w:hAnsi="宋体" w:cs="宋体" w:hint="eastAsia"/>
          <w:kern w:val="0"/>
          <w:sz w:val="32"/>
          <w:szCs w:val="32"/>
        </w:rPr>
        <w:t>B、股票价格、短期均线、中期均线、长期均线自下而上依次排列</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6" type="#_x0000_t75" style="width:20.25pt;height:15.75pt" o:ole="">
            <v:imagedata r:id="rId4" o:title=""/>
          </v:shape>
          <w:control r:id="rId128" w:name="DefaultOcxName213" w:shapeid="_x0000_i1566"/>
        </w:object>
      </w:r>
      <w:r w:rsidRPr="00236B96">
        <w:rPr>
          <w:rFonts w:ascii="宋体" w:eastAsia="宋体" w:hAnsi="宋体" w:cs="宋体" w:hint="eastAsia"/>
          <w:kern w:val="0"/>
          <w:sz w:val="32"/>
          <w:szCs w:val="32"/>
        </w:rPr>
        <w:t>C、长期均线、股票价格、短期均线、中期均线自下而上依次排列</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5" type="#_x0000_t75" style="width:20.25pt;height:15.75pt" o:ole="">
            <v:imagedata r:id="rId4" o:title=""/>
          </v:shape>
          <w:control r:id="rId129" w:name="DefaultOcxName313" w:shapeid="_x0000_i1565"/>
        </w:object>
      </w:r>
      <w:r w:rsidRPr="00236B96">
        <w:rPr>
          <w:rFonts w:ascii="宋体" w:eastAsia="宋体" w:hAnsi="宋体" w:cs="宋体" w:hint="eastAsia"/>
          <w:kern w:val="0"/>
          <w:sz w:val="32"/>
          <w:szCs w:val="32"/>
        </w:rPr>
        <w:t>D、短期均线、中期均线、长期均线、股票价格自下而上依次排列</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2.(6分)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系统性风险也称（   ）风险。</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4" type="#_x0000_t75" style="width:20.25pt;height:15.75pt" o:ole="">
            <v:imagedata r:id="rId6" o:title=""/>
          </v:shape>
          <w:control r:id="rId130" w:name="DefaultOcxName413" w:shapeid="_x0000_i1564"/>
        </w:object>
      </w:r>
      <w:r w:rsidRPr="00236B96">
        <w:rPr>
          <w:rFonts w:ascii="宋体" w:eastAsia="宋体" w:hAnsi="宋体" w:cs="宋体" w:hint="eastAsia"/>
          <w:kern w:val="0"/>
          <w:sz w:val="32"/>
          <w:szCs w:val="32"/>
        </w:rPr>
        <w:t>A、分散风险</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3" type="#_x0000_t75" style="width:20.25pt;height:15.75pt" o:ole="">
            <v:imagedata r:id="rId4" o:title=""/>
          </v:shape>
          <w:control r:id="rId131" w:name="DefaultOcxName513" w:shapeid="_x0000_i1563"/>
        </w:object>
      </w:r>
      <w:r w:rsidRPr="00236B96">
        <w:rPr>
          <w:rFonts w:ascii="宋体" w:eastAsia="宋体" w:hAnsi="宋体" w:cs="宋体" w:hint="eastAsia"/>
          <w:kern w:val="0"/>
          <w:sz w:val="32"/>
          <w:szCs w:val="32"/>
        </w:rPr>
        <w:t>B、偶然风险</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2" type="#_x0000_t75" style="width:20.25pt;height:15.75pt" o:ole="">
            <v:imagedata r:id="rId4" o:title=""/>
          </v:shape>
          <w:control r:id="rId132" w:name="DefaultOcxName62" w:shapeid="_x0000_i1562"/>
        </w:object>
      </w:r>
      <w:r w:rsidRPr="00236B96">
        <w:rPr>
          <w:rFonts w:ascii="宋体" w:eastAsia="宋体" w:hAnsi="宋体" w:cs="宋体" w:hint="eastAsia"/>
          <w:kern w:val="0"/>
          <w:sz w:val="32"/>
          <w:szCs w:val="32"/>
        </w:rPr>
        <w:t>C、残余风险</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1" type="#_x0000_t75" style="width:20.25pt;height:15.75pt" o:ole="">
            <v:imagedata r:id="rId4" o:title=""/>
          </v:shape>
          <w:control r:id="rId133" w:name="DefaultOcxName72" w:shapeid="_x0000_i1561"/>
        </w:object>
      </w:r>
      <w:r w:rsidRPr="00236B96">
        <w:rPr>
          <w:rFonts w:ascii="宋体" w:eastAsia="宋体" w:hAnsi="宋体" w:cs="宋体" w:hint="eastAsia"/>
          <w:kern w:val="0"/>
          <w:sz w:val="32"/>
          <w:szCs w:val="32"/>
        </w:rPr>
        <w:t>D、固定风险</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3.(6分)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资产收益率是反映上市公司（   ）的指标。</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60" type="#_x0000_t75" style="width:20.25pt;height:15.75pt" o:ole="">
            <v:imagedata r:id="rId6" o:title=""/>
          </v:shape>
          <w:control r:id="rId134" w:name="DefaultOcxName82" w:shapeid="_x0000_i1560"/>
        </w:object>
      </w:r>
      <w:r w:rsidRPr="00236B96">
        <w:rPr>
          <w:rFonts w:ascii="宋体" w:eastAsia="宋体" w:hAnsi="宋体" w:cs="宋体" w:hint="eastAsia"/>
          <w:kern w:val="0"/>
          <w:sz w:val="32"/>
          <w:szCs w:val="32"/>
        </w:rPr>
        <w:t>A、获利能力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9" type="#_x0000_t75" style="width:20.25pt;height:15.75pt" o:ole="">
            <v:imagedata r:id="rId4" o:title=""/>
          </v:shape>
          <w:control r:id="rId135" w:name="DefaultOcxName92" w:shapeid="_x0000_i1559"/>
        </w:object>
      </w:r>
      <w:r w:rsidRPr="00236B96">
        <w:rPr>
          <w:rFonts w:ascii="宋体" w:eastAsia="宋体" w:hAnsi="宋体" w:cs="宋体" w:hint="eastAsia"/>
          <w:kern w:val="0"/>
          <w:sz w:val="32"/>
          <w:szCs w:val="32"/>
        </w:rPr>
        <w:t>B、经营能力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8" type="#_x0000_t75" style="width:20.25pt;height:15.75pt" o:ole="">
            <v:imagedata r:id="rId4" o:title=""/>
          </v:shape>
          <w:control r:id="rId136" w:name="DefaultOcxName102" w:shapeid="_x0000_i1558"/>
        </w:object>
      </w:r>
      <w:r w:rsidRPr="00236B96">
        <w:rPr>
          <w:rFonts w:ascii="宋体" w:eastAsia="宋体" w:hAnsi="宋体" w:cs="宋体" w:hint="eastAsia"/>
          <w:kern w:val="0"/>
          <w:sz w:val="32"/>
          <w:szCs w:val="32"/>
        </w:rPr>
        <w:t>C、偿债能力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7" type="#_x0000_t75" style="width:20.25pt;height:15.75pt" o:ole="">
            <v:imagedata r:id="rId4" o:title=""/>
          </v:shape>
          <w:control r:id="rId137" w:name="DefaultOcxName112" w:shapeid="_x0000_i1557"/>
        </w:object>
      </w:r>
      <w:r w:rsidRPr="00236B96">
        <w:rPr>
          <w:rFonts w:ascii="宋体" w:eastAsia="宋体" w:hAnsi="宋体" w:cs="宋体" w:hint="eastAsia"/>
          <w:kern w:val="0"/>
          <w:sz w:val="32"/>
          <w:szCs w:val="32"/>
        </w:rPr>
        <w:t>D、资本结构</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4.(6分)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一般性，上市公司二级市场上流通的股票价格通常要（   ）其公司每股净资产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6" type="#_x0000_t75" style="width:20.25pt;height:15.75pt" o:ole="">
            <v:imagedata r:id="rId4" o:title=""/>
          </v:shape>
          <w:control r:id="rId138" w:name="DefaultOcxName122" w:shapeid="_x0000_i1556"/>
        </w:object>
      </w:r>
      <w:r w:rsidRPr="00236B96">
        <w:rPr>
          <w:rFonts w:ascii="宋体" w:eastAsia="宋体" w:hAnsi="宋体" w:cs="宋体" w:hint="eastAsia"/>
          <w:kern w:val="0"/>
          <w:sz w:val="32"/>
          <w:szCs w:val="32"/>
        </w:rPr>
        <w:t>A、低于</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5" type="#_x0000_t75" style="width:20.25pt;height:15.75pt" o:ole="">
            <v:imagedata r:id="rId4" o:title=""/>
          </v:shape>
          <w:control r:id="rId139" w:name="DefaultOcxName132" w:shapeid="_x0000_i1555"/>
        </w:object>
      </w:r>
      <w:r w:rsidRPr="00236B96">
        <w:rPr>
          <w:rFonts w:ascii="宋体" w:eastAsia="宋体" w:hAnsi="宋体" w:cs="宋体" w:hint="eastAsia"/>
          <w:kern w:val="0"/>
          <w:sz w:val="32"/>
          <w:szCs w:val="32"/>
        </w:rPr>
        <w:t>B、等于</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4" type="#_x0000_t75" style="width:20.25pt;height:15.75pt" o:ole="">
            <v:imagedata r:id="rId6" o:title=""/>
          </v:shape>
          <w:control r:id="rId140" w:name="DefaultOcxName142" w:shapeid="_x0000_i1554"/>
        </w:object>
      </w:r>
      <w:r w:rsidRPr="00236B96">
        <w:rPr>
          <w:rFonts w:ascii="宋体" w:eastAsia="宋体" w:hAnsi="宋体" w:cs="宋体" w:hint="eastAsia"/>
          <w:kern w:val="0"/>
          <w:sz w:val="32"/>
          <w:szCs w:val="32"/>
        </w:rPr>
        <w:t>C、高于</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3" type="#_x0000_t75" style="width:20.25pt;height:15.75pt" o:ole="">
            <v:imagedata r:id="rId4" o:title=""/>
          </v:shape>
          <w:control r:id="rId141" w:name="DefaultOcxName152" w:shapeid="_x0000_i1553"/>
        </w:object>
      </w:r>
      <w:r w:rsidRPr="00236B96">
        <w:rPr>
          <w:rFonts w:ascii="宋体" w:eastAsia="宋体" w:hAnsi="宋体" w:cs="宋体" w:hint="eastAsia"/>
          <w:kern w:val="0"/>
          <w:sz w:val="32"/>
          <w:szCs w:val="32"/>
        </w:rPr>
        <w:t>D、无固定关系</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5.(6分)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某股当日新上市，共成交3000万股，而该股流通总股本为8000万股，该股当日的换手率为（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2" type="#_x0000_t75" style="width:20.25pt;height:15.75pt" o:ole="">
            <v:imagedata r:id="rId4" o:title=""/>
          </v:shape>
          <w:control r:id="rId142" w:name="DefaultOcxName162" w:shapeid="_x0000_i1552"/>
        </w:object>
      </w:r>
      <w:r w:rsidRPr="00236B96">
        <w:rPr>
          <w:rFonts w:ascii="宋体" w:eastAsia="宋体" w:hAnsi="宋体" w:cs="宋体" w:hint="eastAsia"/>
          <w:kern w:val="0"/>
          <w:sz w:val="32"/>
          <w:szCs w:val="32"/>
        </w:rPr>
        <w:t>A、63.5%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1" type="#_x0000_t75" style="width:20.25pt;height:15.75pt" o:ole="">
            <v:imagedata r:id="rId6" o:title=""/>
          </v:shape>
          <w:control r:id="rId143" w:name="DefaultOcxName172" w:shapeid="_x0000_i1551"/>
        </w:object>
      </w:r>
      <w:r w:rsidRPr="00236B96">
        <w:rPr>
          <w:rFonts w:ascii="宋体" w:eastAsia="宋体" w:hAnsi="宋体" w:cs="宋体" w:hint="eastAsia"/>
          <w:kern w:val="0"/>
          <w:sz w:val="32"/>
          <w:szCs w:val="32"/>
        </w:rPr>
        <w:t>B、37.5%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50" type="#_x0000_t75" style="width:20.25pt;height:15.75pt" o:ole="">
            <v:imagedata r:id="rId4" o:title=""/>
          </v:shape>
          <w:control r:id="rId144" w:name="DefaultOcxName182" w:shapeid="_x0000_i1550"/>
        </w:object>
      </w:r>
      <w:r w:rsidRPr="00236B96">
        <w:rPr>
          <w:rFonts w:ascii="宋体" w:eastAsia="宋体" w:hAnsi="宋体" w:cs="宋体" w:hint="eastAsia"/>
          <w:kern w:val="0"/>
          <w:sz w:val="32"/>
          <w:szCs w:val="32"/>
        </w:rPr>
        <w:t>C、35%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9" type="#_x0000_t75" style="width:20.25pt;height:15.75pt" o:ole="">
            <v:imagedata r:id="rId4" o:title=""/>
          </v:shape>
          <w:control r:id="rId145" w:name="DefaultOcxName192" w:shapeid="_x0000_i1549"/>
        </w:object>
      </w:r>
      <w:r w:rsidRPr="00236B96">
        <w:rPr>
          <w:rFonts w:ascii="宋体" w:eastAsia="宋体" w:hAnsi="宋体" w:cs="宋体" w:hint="eastAsia"/>
          <w:kern w:val="0"/>
          <w:sz w:val="32"/>
          <w:szCs w:val="32"/>
        </w:rPr>
        <w:t>D、65%</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6.(6分)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某股票的第五天的股票均值为8.80，第六天的收盘价为9.05，如做5日均线，该股票第六天的均值为（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8" type="#_x0000_t75" style="width:20.25pt;height:15.75pt" o:ole="">
            <v:imagedata r:id="rId4" o:title=""/>
          </v:shape>
          <w:control r:id="rId146" w:name="DefaultOcxName202" w:shapeid="_x0000_i1548"/>
        </w:object>
      </w:r>
      <w:r w:rsidRPr="00236B96">
        <w:rPr>
          <w:rFonts w:ascii="宋体" w:eastAsia="宋体" w:hAnsi="宋体" w:cs="宋体" w:hint="eastAsia"/>
          <w:kern w:val="0"/>
          <w:sz w:val="32"/>
          <w:szCs w:val="32"/>
        </w:rPr>
        <w:t>A、8.80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7" type="#_x0000_t75" style="width:20.25pt;height:15.75pt" o:ole="">
            <v:imagedata r:id="rId6" o:title=""/>
          </v:shape>
          <w:control r:id="rId147" w:name="DefaultOcxName212" w:shapeid="_x0000_i1547"/>
        </w:object>
      </w:r>
      <w:r w:rsidRPr="00236B96">
        <w:rPr>
          <w:rFonts w:ascii="宋体" w:eastAsia="宋体" w:hAnsi="宋体" w:cs="宋体" w:hint="eastAsia"/>
          <w:kern w:val="0"/>
          <w:sz w:val="32"/>
          <w:szCs w:val="32"/>
        </w:rPr>
        <w:t>B、8.85</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6" type="#_x0000_t75" style="width:20.25pt;height:15.75pt" o:ole="">
            <v:imagedata r:id="rId4" o:title=""/>
          </v:shape>
          <w:control r:id="rId148" w:name="DefaultOcxName222" w:shapeid="_x0000_i1546"/>
        </w:object>
      </w:r>
      <w:r w:rsidRPr="00236B96">
        <w:rPr>
          <w:rFonts w:ascii="宋体" w:eastAsia="宋体" w:hAnsi="宋体" w:cs="宋体" w:hint="eastAsia"/>
          <w:kern w:val="0"/>
          <w:sz w:val="32"/>
          <w:szCs w:val="32"/>
        </w:rPr>
        <w:t>C、8.90</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5" type="#_x0000_t75" style="width:20.25pt;height:15.75pt" o:ole="">
            <v:imagedata r:id="rId4" o:title=""/>
          </v:shape>
          <w:control r:id="rId149" w:name="DefaultOcxName232" w:shapeid="_x0000_i1545"/>
        </w:object>
      </w:r>
      <w:r w:rsidRPr="00236B96">
        <w:rPr>
          <w:rFonts w:ascii="宋体" w:eastAsia="宋体" w:hAnsi="宋体" w:cs="宋体" w:hint="eastAsia"/>
          <w:kern w:val="0"/>
          <w:sz w:val="32"/>
          <w:szCs w:val="32"/>
        </w:rPr>
        <w:t>D、8.98</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7.(6分)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资产负债率是反映上市公司（   ）的指标。</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4" type="#_x0000_t75" style="width:20.25pt;height:15.75pt" o:ole="">
            <v:imagedata r:id="rId4" o:title=""/>
          </v:shape>
          <w:control r:id="rId150" w:name="DefaultOcxName242" w:shapeid="_x0000_i1544"/>
        </w:object>
      </w:r>
      <w:r w:rsidRPr="00236B96">
        <w:rPr>
          <w:rFonts w:ascii="宋体" w:eastAsia="宋体" w:hAnsi="宋体" w:cs="宋体" w:hint="eastAsia"/>
          <w:kern w:val="0"/>
          <w:sz w:val="32"/>
          <w:szCs w:val="32"/>
        </w:rPr>
        <w:t>A、获利能力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3" type="#_x0000_t75" style="width:20.25pt;height:15.75pt" o:ole="">
            <v:imagedata r:id="rId4" o:title=""/>
          </v:shape>
          <w:control r:id="rId151" w:name="DefaultOcxName252" w:shapeid="_x0000_i1543"/>
        </w:object>
      </w:r>
      <w:r w:rsidRPr="00236B96">
        <w:rPr>
          <w:rFonts w:ascii="宋体" w:eastAsia="宋体" w:hAnsi="宋体" w:cs="宋体" w:hint="eastAsia"/>
          <w:kern w:val="0"/>
          <w:sz w:val="32"/>
          <w:szCs w:val="32"/>
        </w:rPr>
        <w:t>B、经营能力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2" type="#_x0000_t75" style="width:20.25pt;height:15.75pt" o:ole="">
            <v:imagedata r:id="rId4" o:title=""/>
          </v:shape>
          <w:control r:id="rId152" w:name="DefaultOcxName262" w:shapeid="_x0000_i1542"/>
        </w:object>
      </w:r>
      <w:r w:rsidRPr="00236B96">
        <w:rPr>
          <w:rFonts w:ascii="宋体" w:eastAsia="宋体" w:hAnsi="宋体" w:cs="宋体" w:hint="eastAsia"/>
          <w:kern w:val="0"/>
          <w:sz w:val="32"/>
          <w:szCs w:val="32"/>
        </w:rPr>
        <w:t>C、偿债能力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1" type="#_x0000_t75" style="width:20.25pt;height:15.75pt" o:ole="">
            <v:imagedata r:id="rId6" o:title=""/>
          </v:shape>
          <w:control r:id="rId153" w:name="DefaultOcxName272" w:shapeid="_x0000_i1541"/>
        </w:object>
      </w:r>
      <w:r w:rsidRPr="00236B96">
        <w:rPr>
          <w:rFonts w:ascii="宋体" w:eastAsia="宋体" w:hAnsi="宋体" w:cs="宋体" w:hint="eastAsia"/>
          <w:kern w:val="0"/>
          <w:sz w:val="32"/>
          <w:szCs w:val="32"/>
        </w:rPr>
        <w:t>D、资本结构</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8.(6分)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应收账款周转天数是反映上市公司（   ）的指标。</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40" type="#_x0000_t75" style="width:20.25pt;height:15.75pt" o:ole="">
            <v:imagedata r:id="rId4" o:title=""/>
          </v:shape>
          <w:control r:id="rId154" w:name="DefaultOcxName282" w:shapeid="_x0000_i1540"/>
        </w:object>
      </w:r>
      <w:r w:rsidRPr="00236B96">
        <w:rPr>
          <w:rFonts w:ascii="宋体" w:eastAsia="宋体" w:hAnsi="宋体" w:cs="宋体" w:hint="eastAsia"/>
          <w:kern w:val="0"/>
          <w:sz w:val="32"/>
          <w:szCs w:val="32"/>
        </w:rPr>
        <w:t>A、获利能力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9" type="#_x0000_t75" style="width:20.25pt;height:15.75pt" o:ole="">
            <v:imagedata r:id="rId4" o:title=""/>
          </v:shape>
          <w:control r:id="rId155" w:name="DefaultOcxName292" w:shapeid="_x0000_i1539"/>
        </w:object>
      </w:r>
      <w:r w:rsidRPr="00236B96">
        <w:rPr>
          <w:rFonts w:ascii="宋体" w:eastAsia="宋体" w:hAnsi="宋体" w:cs="宋体" w:hint="eastAsia"/>
          <w:kern w:val="0"/>
          <w:sz w:val="32"/>
          <w:szCs w:val="32"/>
        </w:rPr>
        <w:t>B、经营能力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8" type="#_x0000_t75" style="width:20.25pt;height:15.75pt" o:ole="">
            <v:imagedata r:id="rId6" o:title=""/>
          </v:shape>
          <w:control r:id="rId156" w:name="DefaultOcxName302" w:shapeid="_x0000_i1538"/>
        </w:object>
      </w:r>
      <w:r w:rsidRPr="00236B96">
        <w:rPr>
          <w:rFonts w:ascii="宋体" w:eastAsia="宋体" w:hAnsi="宋体" w:cs="宋体" w:hint="eastAsia"/>
          <w:kern w:val="0"/>
          <w:sz w:val="32"/>
          <w:szCs w:val="32"/>
        </w:rPr>
        <w:t>C、偿债能力</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7" type="#_x0000_t75" style="width:20.25pt;height:15.75pt" o:ole="">
            <v:imagedata r:id="rId4" o:title=""/>
          </v:shape>
          <w:control r:id="rId157" w:name="DefaultOcxName312" w:shapeid="_x0000_i1537"/>
        </w:object>
      </w:r>
      <w:r w:rsidRPr="00236B96">
        <w:rPr>
          <w:rFonts w:ascii="宋体" w:eastAsia="宋体" w:hAnsi="宋体" w:cs="宋体" w:hint="eastAsia"/>
          <w:kern w:val="0"/>
          <w:sz w:val="32"/>
          <w:szCs w:val="32"/>
        </w:rPr>
        <w:t>D、资本结构</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9.(6分)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一般来说，市盈率低的股票，投资价值（   ）</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6" type="#_x0000_t75" style="width:20.25pt;height:15.75pt" o:ole="">
            <v:imagedata r:id="rId4" o:title=""/>
          </v:shape>
          <w:control r:id="rId158" w:name="DefaultOcxName322" w:shapeid="_x0000_i1536"/>
        </w:object>
      </w:r>
      <w:r w:rsidRPr="00236B96">
        <w:rPr>
          <w:rFonts w:ascii="宋体" w:eastAsia="宋体" w:hAnsi="宋体" w:cs="宋体" w:hint="eastAsia"/>
          <w:kern w:val="0"/>
          <w:sz w:val="32"/>
          <w:szCs w:val="32"/>
        </w:rPr>
        <w:t>A、很差</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5" type="#_x0000_t75" style="width:20.25pt;height:15.75pt" o:ole="">
            <v:imagedata r:id="rId4" o:title=""/>
          </v:shape>
          <w:control r:id="rId159" w:name="DefaultOcxName332" w:shapeid="_x0000_i1535"/>
        </w:object>
      </w:r>
      <w:r w:rsidRPr="00236B96">
        <w:rPr>
          <w:rFonts w:ascii="宋体" w:eastAsia="宋体" w:hAnsi="宋体" w:cs="宋体" w:hint="eastAsia"/>
          <w:kern w:val="0"/>
          <w:sz w:val="32"/>
          <w:szCs w:val="32"/>
        </w:rPr>
        <w:t>B、一般</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4" type="#_x0000_t75" style="width:20.25pt;height:15.75pt" o:ole="">
            <v:imagedata r:id="rId6" o:title=""/>
          </v:shape>
          <w:control r:id="rId160" w:name="DefaultOcxName342" w:shapeid="_x0000_i1534"/>
        </w:object>
      </w:r>
      <w:r w:rsidRPr="00236B96">
        <w:rPr>
          <w:rFonts w:ascii="宋体" w:eastAsia="宋体" w:hAnsi="宋体" w:cs="宋体" w:hint="eastAsia"/>
          <w:kern w:val="0"/>
          <w:sz w:val="32"/>
          <w:szCs w:val="32"/>
        </w:rPr>
        <w:t>C、较好</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3" type="#_x0000_t75" style="width:20.25pt;height:15.75pt" o:ole="">
            <v:imagedata r:id="rId4" o:title=""/>
          </v:shape>
          <w:control r:id="rId161" w:name="DefaultOcxName352" w:shapeid="_x0000_i1533"/>
        </w:object>
      </w:r>
      <w:r w:rsidRPr="00236B96">
        <w:rPr>
          <w:rFonts w:ascii="宋体" w:eastAsia="宋体" w:hAnsi="宋体" w:cs="宋体" w:hint="eastAsia"/>
          <w:kern w:val="0"/>
          <w:sz w:val="32"/>
          <w:szCs w:val="32"/>
        </w:rPr>
        <w:t>D、特别突出</w:t>
      </w:r>
    </w:p>
    <w:p w:rsidR="00236B96" w:rsidRPr="00236B96" w:rsidRDefault="00236B96" w:rsidP="00236B96">
      <w:pPr>
        <w:widowControl/>
        <w:shd w:val="clear" w:color="auto" w:fill="EEF3F9"/>
        <w:jc w:val="left"/>
        <w:rPr>
          <w:rFonts w:ascii="宋体" w:eastAsia="宋体" w:hAnsi="宋体" w:cs="宋体" w:hint="eastAsia"/>
          <w:kern w:val="0"/>
          <w:sz w:val="32"/>
          <w:szCs w:val="32"/>
        </w:rPr>
      </w:pPr>
      <w:r w:rsidRPr="00236B96">
        <w:rPr>
          <w:rFonts w:ascii="宋体" w:eastAsia="宋体" w:hAnsi="宋体" w:cs="宋体"/>
          <w:kern w:val="0"/>
          <w:sz w:val="32"/>
          <w:szCs w:val="32"/>
        </w:rPr>
        <w:t>10.(6分)</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头肩底向上突破颈线，（   ）突破的可能性大。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2" type="#_x0000_t75" style="width:20.25pt;height:15.75pt" o:ole="">
            <v:imagedata r:id="rId4" o:title=""/>
          </v:shape>
          <w:control r:id="rId162" w:name="DefaultOcxName362" w:shapeid="_x0000_i1532"/>
        </w:object>
      </w:r>
      <w:r w:rsidRPr="00236B96">
        <w:rPr>
          <w:rFonts w:ascii="宋体" w:eastAsia="宋体" w:hAnsi="宋体" w:cs="宋体" w:hint="eastAsia"/>
          <w:kern w:val="0"/>
          <w:sz w:val="32"/>
          <w:szCs w:val="32"/>
        </w:rPr>
        <w:t>A、成交量较小</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1" type="#_x0000_t75" style="width:20.25pt;height:15.75pt" o:ole="">
            <v:imagedata r:id="rId6" o:title=""/>
          </v:shape>
          <w:control r:id="rId163" w:name="DefaultOcxName372" w:shapeid="_x0000_i1531"/>
        </w:object>
      </w:r>
      <w:r w:rsidRPr="00236B96">
        <w:rPr>
          <w:rFonts w:ascii="宋体" w:eastAsia="宋体" w:hAnsi="宋体" w:cs="宋体" w:hint="eastAsia"/>
          <w:kern w:val="0"/>
          <w:sz w:val="32"/>
          <w:szCs w:val="32"/>
        </w:rPr>
        <w:t>B、成交量较大</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30" type="#_x0000_t75" style="width:20.25pt;height:15.75pt" o:ole="">
            <v:imagedata r:id="rId4" o:title=""/>
          </v:shape>
          <w:control r:id="rId164" w:name="DefaultOcxName382" w:shapeid="_x0000_i1530"/>
        </w:object>
      </w:r>
      <w:r w:rsidRPr="00236B96">
        <w:rPr>
          <w:rFonts w:ascii="宋体" w:eastAsia="宋体" w:hAnsi="宋体" w:cs="宋体" w:hint="eastAsia"/>
          <w:kern w:val="0"/>
          <w:sz w:val="32"/>
          <w:szCs w:val="32"/>
        </w:rPr>
        <w:t>C、成交量比较温和</w:t>
      </w:r>
      <w:r w:rsidRPr="00236B96">
        <w:rPr>
          <w:rFonts w:ascii="宋体" w:eastAsia="宋体" w:hAnsi="宋体" w:cs="宋体" w:hint="eastAsia"/>
          <w:kern w:val="0"/>
          <w:sz w:val="32"/>
          <w:szCs w:val="32"/>
        </w:rPr>
        <w:br/>
      </w:r>
      <w:r w:rsidRPr="00236B96">
        <w:rPr>
          <w:rFonts w:ascii="宋体" w:eastAsia="宋体" w:hAnsi="宋体" w:cs="宋体"/>
          <w:kern w:val="0"/>
          <w:sz w:val="32"/>
          <w:szCs w:val="32"/>
        </w:rPr>
        <w:object w:dxaOrig="1440" w:dyaOrig="1440">
          <v:shape id="_x0000_i1529" type="#_x0000_t75" style="width:20.25pt;height:15.75pt" o:ole="">
            <v:imagedata r:id="rId4" o:title=""/>
          </v:shape>
          <w:control r:id="rId165" w:name="DefaultOcxName392" w:shapeid="_x0000_i1529"/>
        </w:object>
      </w:r>
      <w:r w:rsidRPr="00236B96">
        <w:rPr>
          <w:rFonts w:ascii="宋体" w:eastAsia="宋体" w:hAnsi="宋体" w:cs="宋体" w:hint="eastAsia"/>
          <w:kern w:val="0"/>
          <w:sz w:val="32"/>
          <w:szCs w:val="32"/>
        </w:rPr>
        <w:t>D、与成交量无关</w:t>
      </w:r>
    </w:p>
    <w:p w:rsidR="00236B96" w:rsidRPr="00236B96" w:rsidRDefault="00236B96" w:rsidP="00236B96">
      <w:pPr>
        <w:widowControl/>
        <w:shd w:val="clear" w:color="auto" w:fill="EEF3F9"/>
        <w:jc w:val="left"/>
        <w:rPr>
          <w:rFonts w:ascii="宋体" w:eastAsia="宋体" w:hAnsi="宋体" w:cs="宋体" w:hint="eastAsia"/>
          <w:kern w:val="0"/>
          <w:sz w:val="45"/>
          <w:szCs w:val="45"/>
        </w:rPr>
      </w:pPr>
      <w:r w:rsidRPr="00236B96">
        <w:rPr>
          <w:rFonts w:ascii="宋体" w:eastAsia="宋体" w:hAnsi="宋体" w:cs="宋体"/>
          <w:kern w:val="0"/>
          <w:sz w:val="45"/>
          <w:szCs w:val="45"/>
        </w:rPr>
        <w:t>判断题(共10题,共40分)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49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支撑线和压力线的地位不是一成不变的，而是可以相互转化的</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8" type="#_x0000_t75" style="width:20.25pt;height:15.75pt" o:ole="">
                  <v:imagedata r:id="rId6" o:title=""/>
                </v:shape>
                <w:control r:id="rId166" w:name="DefaultOcxName402" w:shapeid="_x0000_i152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7" type="#_x0000_t75" style="width:20.25pt;height:15.75pt" o:ole="">
                  <v:imagedata r:id="rId4" o:title=""/>
                </v:shape>
                <w:control r:id="rId167" w:name="DefaultOcxName412" w:shapeid="_x0000_i152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56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十字星的K线因为收盘价等于开盘价，所以一般没有红黑十字星之分。</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6" type="#_x0000_t75" style="width:20.25pt;height:15.75pt" o:ole="">
                  <v:imagedata r:id="rId4" o:title=""/>
                </v:shape>
                <w:control r:id="rId168" w:name="DefaultOcxName422" w:shapeid="_x0000_i152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5" type="#_x0000_t75" style="width:20.25pt;height:15.75pt" o:ole="">
                  <v:imagedata r:id="rId6" o:title=""/>
                </v:shape>
                <w:control r:id="rId169" w:name="DefaultOcxName432" w:shapeid="_x0000_i152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531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市盈率是表示投资者愿意支付多少价格换取公司每一元收益的指标</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4" type="#_x0000_t75" style="width:20.25pt;height:15.75pt" o:ole="">
                  <v:imagedata r:id="rId6" o:title=""/>
                </v:shape>
                <w:control r:id="rId170" w:name="DefaultOcxName442" w:shapeid="_x0000_i152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3" type="#_x0000_t75" style="width:20.25pt;height:15.75pt" o:ole="">
                  <v:imagedata r:id="rId4" o:title=""/>
                </v:shape>
                <w:control r:id="rId171" w:name="DefaultOcxName452" w:shapeid="_x0000_i152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29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股东权益比率是反映偿债能力的指标</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2" type="#_x0000_t75" style="width:20.25pt;height:15.75pt" o:ole="">
                  <v:imagedata r:id="rId6" o:title=""/>
                </v:shape>
                <w:control r:id="rId172" w:name="DefaultOcxName462" w:shapeid="_x0000_i152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1" type="#_x0000_t75" style="width:20.25pt;height:15.75pt" o:ole="">
                  <v:imagedata r:id="rId4" o:title=""/>
                </v:shape>
                <w:control r:id="rId173" w:name="DefaultOcxName472" w:shapeid="_x0000_i152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315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资本固定化比率是反映偿债能力的指标</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20" type="#_x0000_t75" style="width:20.25pt;height:15.75pt" o:ole="">
                  <v:imagedata r:id="rId6" o:title=""/>
                </v:shape>
                <w:control r:id="rId174" w:name="DefaultOcxName482" w:shapeid="_x0000_i152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9" type="#_x0000_t75" style="width:20.25pt;height:15.75pt" o:ole="">
                  <v:imagedata r:id="rId4" o:title=""/>
                </v:shape>
                <w:control r:id="rId175" w:name="DefaultOcxName492" w:shapeid="_x0000_i151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333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资产收益率一般是最受投资者关注的指标</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8" type="#_x0000_t75" style="width:20.25pt;height:15.75pt" o:ole="">
                  <v:imagedata r:id="rId4" o:title=""/>
                </v:shape>
                <w:control r:id="rId176" w:name="DefaultOcxName502" w:shapeid="_x0000_i1518"/>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7" type="#_x0000_t75" style="width:20.25pt;height:15.75pt" o:ole="">
                  <v:imagedata r:id="rId6" o:title=""/>
                </v:shape>
                <w:control r:id="rId177" w:name="DefaultOcxName512" w:shapeid="_x0000_i1517"/>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56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主营收入含金量这项指标高，反映企业的产品适销对路，市场需求旺盛</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6" type="#_x0000_t75" style="width:20.25pt;height:15.75pt" o:ole="">
                  <v:imagedata r:id="rId6" o:title=""/>
                </v:shape>
                <w:control r:id="rId178" w:name="DefaultOcxName522" w:shapeid="_x0000_i1516"/>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5" type="#_x0000_t75" style="width:20.25pt;height:15.75pt" o:ole="">
                  <v:imagedata r:id="rId4" o:title=""/>
                </v:shape>
                <w:control r:id="rId179" w:name="DefaultOcxName532" w:shapeid="_x0000_i1515"/>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567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移动平均线会频繁的发出买进或卖出的信号，使投资者容易受到迷惑。</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4" type="#_x0000_t75" style="width:20.25pt;height:15.75pt" o:ole="">
                  <v:imagedata r:id="rId6" o:title=""/>
                </v:shape>
                <w:control r:id="rId180" w:name="DefaultOcxName542" w:shapeid="_x0000_i1514"/>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3" type="#_x0000_t75" style="width:20.25pt;height:15.75pt" o:ole="">
                  <v:imagedata r:id="rId4" o:title=""/>
                </v:shape>
                <w:control r:id="rId181" w:name="DefaultOcxName552" w:shapeid="_x0000_i1513"/>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3285"/>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T型K线图下影线越长，空方力量越强。</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2" type="#_x0000_t75" style="width:20.25pt;height:15.75pt" o:ole="">
                  <v:imagedata r:id="rId4" o:title=""/>
                </v:shape>
                <w:control r:id="rId182" w:name="DefaultOcxName562" w:shapeid="_x0000_i1512"/>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1" type="#_x0000_t75" style="width:20.25pt;height:15.75pt" o:ole="">
                  <v:imagedata r:id="rId6" o:title=""/>
                </v:shape>
                <w:control r:id="rId183" w:name="DefaultOcxName572" w:shapeid="_x0000_i1511"/>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2790"/>
      </w:tblGrid>
      <w:tr w:rsidR="00236B96" w:rsidRPr="00236B96" w:rsidTr="00236B96">
        <w:trPr>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t>移动均线具有惯性和助长的特点。</w:t>
            </w:r>
          </w:p>
        </w:tc>
      </w:tr>
      <w:tr w:rsidR="00236B96" w:rsidRPr="00236B96" w:rsidTr="00236B96">
        <w:trPr>
          <w:trHeight w:val="150"/>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6"/>
                <w:szCs w:val="18"/>
              </w:rPr>
            </w:pP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10" type="#_x0000_t75" style="width:20.25pt;height:15.75pt" o:ole="">
                  <v:imagedata r:id="rId6" o:title=""/>
                </v:shape>
                <w:control r:id="rId184" w:name="DefaultOcxName582" w:shapeid="_x0000_i1510"/>
              </w:object>
            </w:r>
            <w:r w:rsidRPr="00236B96">
              <w:rPr>
                <w:rFonts w:ascii="宋体" w:eastAsia="宋体" w:hAnsi="宋体" w:cs="宋体"/>
                <w:kern w:val="0"/>
                <w:sz w:val="18"/>
                <w:szCs w:val="18"/>
              </w:rPr>
              <w:t>√</w:t>
            </w:r>
          </w:p>
        </w:tc>
      </w:tr>
      <w:tr w:rsidR="00236B96" w:rsidRPr="00236B96" w:rsidTr="00236B96">
        <w:trPr>
          <w:trHeight w:val="375"/>
          <w:tblCellSpacing w:w="15" w:type="dxa"/>
        </w:trPr>
        <w:tc>
          <w:tcPr>
            <w:tcW w:w="0" w:type="auto"/>
            <w:vAlign w:val="center"/>
            <w:hideMark/>
          </w:tcPr>
          <w:p w:rsidR="00236B96" w:rsidRPr="00236B96" w:rsidRDefault="00236B96" w:rsidP="00236B96">
            <w:pPr>
              <w:widowControl/>
              <w:jc w:val="left"/>
              <w:rPr>
                <w:rFonts w:ascii="宋体" w:eastAsia="宋体" w:hAnsi="宋体" w:cs="宋体"/>
                <w:kern w:val="0"/>
                <w:sz w:val="18"/>
                <w:szCs w:val="18"/>
              </w:rPr>
            </w:pPr>
            <w:r w:rsidRPr="00236B96">
              <w:rPr>
                <w:rFonts w:ascii="宋体" w:eastAsia="宋体" w:hAnsi="宋体" w:cs="宋体"/>
                <w:kern w:val="0"/>
                <w:sz w:val="18"/>
                <w:szCs w:val="18"/>
              </w:rPr>
              <w:object w:dxaOrig="1440" w:dyaOrig="1440">
                <v:shape id="_x0000_i1509" type="#_x0000_t75" style="width:20.25pt;height:15.75pt" o:ole="">
                  <v:imagedata r:id="rId4" o:title=""/>
                </v:shape>
                <w:control r:id="rId185" w:name="DefaultOcxName592" w:shapeid="_x0000_i1509"/>
              </w:object>
            </w:r>
            <w:r w:rsidRPr="00236B96">
              <w:rPr>
                <w:rFonts w:ascii="宋体" w:eastAsia="宋体" w:hAnsi="宋体" w:cs="宋体"/>
                <w:kern w:val="0"/>
                <w:sz w:val="18"/>
                <w:szCs w:val="18"/>
              </w:rPr>
              <w:t>×</w:t>
            </w:r>
          </w:p>
        </w:tc>
      </w:tr>
    </w:tbl>
    <w:p w:rsidR="00236B96" w:rsidRPr="00236B96" w:rsidRDefault="00236B96" w:rsidP="00236B96">
      <w:pPr>
        <w:widowControl/>
        <w:shd w:val="clear" w:color="auto" w:fill="EEF3F9"/>
        <w:jc w:val="center"/>
        <w:rPr>
          <w:rFonts w:ascii="宋体" w:eastAsia="宋体" w:hAnsi="宋体" w:cs="宋体"/>
          <w:kern w:val="0"/>
          <w:sz w:val="54"/>
          <w:szCs w:val="54"/>
        </w:rPr>
      </w:pPr>
      <w:r w:rsidRPr="00236B96">
        <w:rPr>
          <w:rFonts w:ascii="宋体" w:eastAsia="宋体" w:hAnsi="宋体" w:cs="宋体"/>
          <w:kern w:val="0"/>
          <w:sz w:val="54"/>
          <w:szCs w:val="54"/>
        </w:rPr>
        <w:t>证券投资分析04任务</w:t>
      </w:r>
    </w:p>
    <w:p w:rsidR="00236B96" w:rsidRPr="00236B96" w:rsidRDefault="00236B96" w:rsidP="00236B96">
      <w:pPr>
        <w:widowControl/>
        <w:shd w:val="clear" w:color="auto" w:fill="EEF3F9"/>
        <w:jc w:val="center"/>
        <w:rPr>
          <w:rFonts w:ascii="宋体" w:eastAsia="宋体" w:hAnsi="宋体" w:cs="宋体"/>
          <w:kern w:val="0"/>
          <w:sz w:val="32"/>
          <w:szCs w:val="32"/>
        </w:rPr>
      </w:pPr>
      <w:r w:rsidRPr="00236B96">
        <w:rPr>
          <w:rFonts w:ascii="宋体" w:eastAsia="宋体" w:hAnsi="宋体" w:cs="宋体"/>
          <w:kern w:val="0"/>
          <w:sz w:val="32"/>
          <w:szCs w:val="32"/>
        </w:rPr>
        <w:t>试卷总分：100</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br/>
      </w:r>
      <w:r w:rsidRPr="00236B96">
        <w:rPr>
          <w:rFonts w:ascii="宋体" w:eastAsia="宋体" w:hAnsi="宋体" w:cs="宋体"/>
          <w:kern w:val="0"/>
          <w:sz w:val="45"/>
          <w:szCs w:val="45"/>
        </w:rPr>
        <w:br/>
        <w:t>1</w:t>
      </w:r>
    </w:p>
    <w:p w:rsidR="00236B96" w:rsidRPr="00236B96" w:rsidRDefault="00236B96" w:rsidP="00236B96">
      <w:pPr>
        <w:widowControl/>
        <w:shd w:val="clear" w:color="auto" w:fill="EEF3F9"/>
        <w:jc w:val="left"/>
        <w:rPr>
          <w:rFonts w:ascii="宋体" w:eastAsia="宋体" w:hAnsi="宋体" w:cs="宋体"/>
          <w:kern w:val="0"/>
          <w:sz w:val="45"/>
          <w:szCs w:val="45"/>
        </w:rPr>
      </w:pPr>
      <w:r w:rsidRPr="00236B96">
        <w:rPr>
          <w:rFonts w:ascii="宋体" w:eastAsia="宋体" w:hAnsi="宋体" w:cs="宋体"/>
          <w:kern w:val="0"/>
          <w:sz w:val="45"/>
          <w:szCs w:val="45"/>
        </w:rPr>
        <w:t>论述题(共1题,共100分)</w:t>
      </w:r>
      <w:r w:rsidRPr="00236B96">
        <w:rPr>
          <w:rFonts w:ascii="宋体" w:eastAsia="宋体" w:hAnsi="宋体" w:cs="宋体"/>
          <w:kern w:val="0"/>
          <w:sz w:val="23"/>
          <w:szCs w:val="23"/>
        </w:rPr>
        <w:br/>
      </w:r>
      <w:r w:rsidRPr="00236B96">
        <w:rPr>
          <w:rFonts w:ascii="宋体" w:eastAsia="宋体" w:hAnsi="宋体" w:cs="宋体"/>
          <w:kern w:val="0"/>
          <w:sz w:val="23"/>
        </w:rPr>
        <w:t>开始说明：</w:t>
      </w:r>
      <w:r w:rsidRPr="00236B96">
        <w:rPr>
          <w:rFonts w:ascii="宋体" w:eastAsia="宋体" w:hAnsi="宋体" w:cs="宋体"/>
          <w:kern w:val="0"/>
          <w:sz w:val="23"/>
          <w:szCs w:val="23"/>
        </w:rPr>
        <w:br/>
      </w:r>
      <w:r w:rsidRPr="00236B96">
        <w:rPr>
          <w:rFonts w:ascii="宋体" w:eastAsia="宋体" w:hAnsi="宋体" w:cs="宋体"/>
          <w:kern w:val="0"/>
          <w:sz w:val="23"/>
        </w:rPr>
        <w:t>结束说明：</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kern w:val="0"/>
          <w:sz w:val="32"/>
          <w:szCs w:val="32"/>
        </w:rPr>
        <w:t>1.(100分)题干显示时间:0秒</w:t>
      </w:r>
    </w:p>
    <w:p w:rsidR="00236B96" w:rsidRPr="00236B96" w:rsidRDefault="00236B96" w:rsidP="00236B96">
      <w:pPr>
        <w:widowControl/>
        <w:shd w:val="clear" w:color="auto" w:fill="EEF3F9"/>
        <w:jc w:val="left"/>
        <w:rPr>
          <w:rFonts w:ascii="宋体" w:eastAsia="宋体" w:hAnsi="宋体" w:cs="宋体"/>
          <w:kern w:val="0"/>
          <w:sz w:val="32"/>
          <w:szCs w:val="32"/>
        </w:rPr>
      </w:pPr>
      <w:r w:rsidRPr="00236B96">
        <w:rPr>
          <w:rFonts w:ascii="宋体" w:eastAsia="宋体" w:hAnsi="宋体" w:cs="宋体" w:hint="eastAsia"/>
          <w:kern w:val="0"/>
          <w:sz w:val="32"/>
          <w:szCs w:val="32"/>
        </w:rPr>
        <w:t>试述股票与债券的区别？（展开论述，不少于200字）</w:t>
      </w:r>
      <w:r w:rsidRPr="00236B96">
        <w:rPr>
          <w:rFonts w:ascii="宋体" w:eastAsia="宋体" w:hAnsi="宋体" w:cs="宋体" w:hint="eastAsia"/>
          <w:kern w:val="0"/>
          <w:sz w:val="32"/>
          <w:szCs w:val="32"/>
        </w:rPr>
        <w:br/>
        <w:t>答： （限9999字） 二者都是投资者长期投资的金融工具，也是筹资者长期筹资的对象，同为有价证券，都可买卖转让，这是两者的相同处。但是，股票是股权证券，体现的是产权关系；而债券是债权证券，体现的却是债权债务关系。二者的区别主要如下：</w:t>
      </w:r>
      <w:r w:rsidRPr="00236B96">
        <w:rPr>
          <w:rFonts w:ascii="宋体" w:eastAsia="宋体" w:hAnsi="宋体" w:cs="宋体" w:hint="eastAsia"/>
          <w:kern w:val="0"/>
          <w:sz w:val="32"/>
          <w:szCs w:val="32"/>
        </w:rPr>
        <w:br/>
        <w:t>（1）性质上，股票体现的是所有权，股票持有者股东有权参与公司经营管理；而债券持有人仅仅代表债务关系，其并无权利参与公司管理。</w:t>
      </w:r>
      <w:r w:rsidRPr="00236B96">
        <w:rPr>
          <w:rFonts w:ascii="宋体" w:eastAsia="宋体" w:hAnsi="宋体" w:cs="宋体" w:hint="eastAsia"/>
          <w:kern w:val="0"/>
          <w:sz w:val="32"/>
          <w:szCs w:val="32"/>
        </w:rPr>
        <w:br/>
        <w:t>（2）发行目的上，发行股票是为筹措自有资金，无需偿还，所得列入净资产即股东权益；而公司发行债券是为了增加流动资金，所筹款列入公司负债。</w:t>
      </w:r>
      <w:r w:rsidRPr="00236B96">
        <w:rPr>
          <w:rFonts w:ascii="宋体" w:eastAsia="宋体" w:hAnsi="宋体" w:cs="宋体" w:hint="eastAsia"/>
          <w:kern w:val="0"/>
          <w:sz w:val="32"/>
          <w:szCs w:val="32"/>
        </w:rPr>
        <w:br/>
        <w:t>（3）偿还时间上，股票无期限，公司无须偿还，债券有期限，到期必须偿还。</w:t>
      </w:r>
      <w:r w:rsidRPr="00236B96">
        <w:rPr>
          <w:rFonts w:ascii="宋体" w:eastAsia="宋体" w:hAnsi="宋体" w:cs="宋体" w:hint="eastAsia"/>
          <w:kern w:val="0"/>
          <w:sz w:val="32"/>
          <w:szCs w:val="32"/>
        </w:rPr>
        <w:br/>
        <w:t>（4）收益形式上看，股票收益并不稳定，而债券本身内涵价值不会变动。</w:t>
      </w:r>
      <w:r w:rsidRPr="00236B96">
        <w:rPr>
          <w:rFonts w:ascii="宋体" w:eastAsia="宋体" w:hAnsi="宋体" w:cs="宋体" w:hint="eastAsia"/>
          <w:kern w:val="0"/>
          <w:sz w:val="32"/>
          <w:szCs w:val="32"/>
        </w:rPr>
        <w:br/>
        <w:t>（5）风险上看，股票价格变动频繁，风险大，投机性强。债券则正好相反。</w:t>
      </w:r>
      <w:r w:rsidRPr="00236B96">
        <w:rPr>
          <w:rFonts w:ascii="宋体" w:eastAsia="宋体" w:hAnsi="宋体" w:cs="宋体" w:hint="eastAsia"/>
          <w:kern w:val="0"/>
          <w:sz w:val="32"/>
          <w:szCs w:val="32"/>
        </w:rPr>
        <w:br/>
        <w:t>（6）发行单位看，除了股份有限公司既可发行股票又可以发行债券，其他部门只能报批发行债券。</w:t>
      </w:r>
      <w:r w:rsidRPr="00236B96">
        <w:rPr>
          <w:rFonts w:ascii="宋体" w:eastAsia="宋体" w:hAnsi="宋体" w:cs="宋体" w:hint="eastAsia"/>
          <w:kern w:val="0"/>
          <w:sz w:val="32"/>
          <w:szCs w:val="32"/>
        </w:rPr>
        <w:br/>
        <w:t>（根据表述答题要点，酌情给分）</w:t>
      </w:r>
    </w:p>
    <w:p w:rsidR="00065B13" w:rsidRDefault="00065B13"/>
    <w:sectPr w:rsidR="00065B13" w:rsidSect="00065B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6B96"/>
    <w:rsid w:val="00065B13"/>
    <w:rsid w:val="00236B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B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236B96"/>
    <w:rPr>
      <w:sz w:val="12"/>
      <w:szCs w:val="12"/>
    </w:rPr>
  </w:style>
</w:styles>
</file>

<file path=word/webSettings.xml><?xml version="1.0" encoding="utf-8"?>
<w:webSettings xmlns:r="http://schemas.openxmlformats.org/officeDocument/2006/relationships" xmlns:w="http://schemas.openxmlformats.org/wordprocessingml/2006/main">
  <w:divs>
    <w:div w:id="35551127">
      <w:bodyDiv w:val="1"/>
      <w:marLeft w:val="0"/>
      <w:marRight w:val="0"/>
      <w:marTop w:val="0"/>
      <w:marBottom w:val="0"/>
      <w:divBdr>
        <w:top w:val="none" w:sz="0" w:space="0" w:color="auto"/>
        <w:left w:val="none" w:sz="0" w:space="0" w:color="auto"/>
        <w:bottom w:val="none" w:sz="0" w:space="0" w:color="auto"/>
        <w:right w:val="none" w:sz="0" w:space="0" w:color="auto"/>
      </w:divBdr>
      <w:divsChild>
        <w:div w:id="292952202">
          <w:marLeft w:val="0"/>
          <w:marRight w:val="0"/>
          <w:marTop w:val="0"/>
          <w:marBottom w:val="0"/>
          <w:divBdr>
            <w:top w:val="none" w:sz="0" w:space="0" w:color="auto"/>
            <w:left w:val="none" w:sz="0" w:space="0" w:color="auto"/>
            <w:bottom w:val="none" w:sz="0" w:space="0" w:color="auto"/>
            <w:right w:val="none" w:sz="0" w:space="0" w:color="auto"/>
          </w:divBdr>
          <w:divsChild>
            <w:div w:id="1192963175">
              <w:marLeft w:val="0"/>
              <w:marRight w:val="0"/>
              <w:marTop w:val="0"/>
              <w:marBottom w:val="0"/>
              <w:divBdr>
                <w:top w:val="none" w:sz="0" w:space="0" w:color="auto"/>
                <w:left w:val="none" w:sz="0" w:space="0" w:color="auto"/>
                <w:bottom w:val="none" w:sz="0" w:space="0" w:color="auto"/>
                <w:right w:val="none" w:sz="0" w:space="0" w:color="auto"/>
              </w:divBdr>
              <w:divsChild>
                <w:div w:id="583103803">
                  <w:marLeft w:val="0"/>
                  <w:marRight w:val="0"/>
                  <w:marTop w:val="450"/>
                  <w:marBottom w:val="300"/>
                  <w:divBdr>
                    <w:top w:val="none" w:sz="0" w:space="0" w:color="auto"/>
                    <w:left w:val="none" w:sz="0" w:space="0" w:color="auto"/>
                    <w:bottom w:val="none" w:sz="0" w:space="0" w:color="auto"/>
                    <w:right w:val="none" w:sz="0" w:space="0" w:color="auto"/>
                  </w:divBdr>
                </w:div>
                <w:div w:id="2033451760">
                  <w:marLeft w:val="0"/>
                  <w:marRight w:val="0"/>
                  <w:marTop w:val="0"/>
                  <w:marBottom w:val="450"/>
                  <w:divBdr>
                    <w:top w:val="none" w:sz="0" w:space="0" w:color="auto"/>
                    <w:left w:val="none" w:sz="0" w:space="0" w:color="auto"/>
                    <w:bottom w:val="none" w:sz="0" w:space="0" w:color="auto"/>
                    <w:right w:val="none" w:sz="0" w:space="0" w:color="auto"/>
                  </w:divBdr>
                </w:div>
                <w:div w:id="768433434">
                  <w:marLeft w:val="525"/>
                  <w:marRight w:val="0"/>
                  <w:marTop w:val="300"/>
                  <w:marBottom w:val="300"/>
                  <w:divBdr>
                    <w:top w:val="none" w:sz="0" w:space="0" w:color="auto"/>
                    <w:left w:val="none" w:sz="0" w:space="0" w:color="auto"/>
                    <w:bottom w:val="none" w:sz="0" w:space="0" w:color="auto"/>
                    <w:right w:val="none" w:sz="0" w:space="0" w:color="auto"/>
                  </w:divBdr>
                </w:div>
                <w:div w:id="1640259052">
                  <w:marLeft w:val="525"/>
                  <w:marRight w:val="0"/>
                  <w:marTop w:val="300"/>
                  <w:marBottom w:val="300"/>
                  <w:divBdr>
                    <w:top w:val="none" w:sz="0" w:space="0" w:color="auto"/>
                    <w:left w:val="none" w:sz="0" w:space="0" w:color="auto"/>
                    <w:bottom w:val="none" w:sz="0" w:space="0" w:color="auto"/>
                    <w:right w:val="none" w:sz="0" w:space="0" w:color="auto"/>
                  </w:divBdr>
                </w:div>
                <w:div w:id="620189098">
                  <w:marLeft w:val="0"/>
                  <w:marRight w:val="0"/>
                  <w:marTop w:val="0"/>
                  <w:marBottom w:val="0"/>
                  <w:divBdr>
                    <w:top w:val="none" w:sz="0" w:space="0" w:color="auto"/>
                    <w:left w:val="none" w:sz="0" w:space="0" w:color="auto"/>
                    <w:bottom w:val="none" w:sz="0" w:space="0" w:color="auto"/>
                    <w:right w:val="none" w:sz="0" w:space="0" w:color="auto"/>
                  </w:divBdr>
                  <w:divsChild>
                    <w:div w:id="1032417115">
                      <w:marLeft w:val="900"/>
                      <w:marRight w:val="0"/>
                      <w:marTop w:val="0"/>
                      <w:marBottom w:val="300"/>
                      <w:divBdr>
                        <w:top w:val="none" w:sz="0" w:space="0" w:color="auto"/>
                        <w:left w:val="none" w:sz="0" w:space="0" w:color="auto"/>
                        <w:bottom w:val="none" w:sz="0" w:space="0" w:color="auto"/>
                        <w:right w:val="none" w:sz="0" w:space="0" w:color="auto"/>
                      </w:divBdr>
                    </w:div>
                    <w:div w:id="899633254">
                      <w:marLeft w:val="1350"/>
                      <w:marRight w:val="0"/>
                      <w:marTop w:val="300"/>
                      <w:marBottom w:val="300"/>
                      <w:divBdr>
                        <w:top w:val="none" w:sz="0" w:space="0" w:color="auto"/>
                        <w:left w:val="none" w:sz="0" w:space="0" w:color="auto"/>
                        <w:bottom w:val="none" w:sz="0" w:space="0" w:color="auto"/>
                        <w:right w:val="none" w:sz="0" w:space="0" w:color="auto"/>
                      </w:divBdr>
                      <w:divsChild>
                        <w:div w:id="462112941">
                          <w:marLeft w:val="0"/>
                          <w:marRight w:val="0"/>
                          <w:marTop w:val="0"/>
                          <w:marBottom w:val="0"/>
                          <w:divBdr>
                            <w:top w:val="none" w:sz="0" w:space="0" w:color="auto"/>
                            <w:left w:val="none" w:sz="0" w:space="0" w:color="auto"/>
                            <w:bottom w:val="none" w:sz="0" w:space="0" w:color="auto"/>
                            <w:right w:val="none" w:sz="0" w:space="0" w:color="auto"/>
                          </w:divBdr>
                        </w:div>
                      </w:divsChild>
                    </w:div>
                    <w:div w:id="2069262783">
                      <w:marLeft w:val="900"/>
                      <w:marRight w:val="0"/>
                      <w:marTop w:val="0"/>
                      <w:marBottom w:val="300"/>
                      <w:divBdr>
                        <w:top w:val="none" w:sz="0" w:space="0" w:color="auto"/>
                        <w:left w:val="none" w:sz="0" w:space="0" w:color="auto"/>
                        <w:bottom w:val="none" w:sz="0" w:space="0" w:color="auto"/>
                        <w:right w:val="none" w:sz="0" w:space="0" w:color="auto"/>
                      </w:divBdr>
                    </w:div>
                    <w:div w:id="724448114">
                      <w:marLeft w:val="1350"/>
                      <w:marRight w:val="0"/>
                      <w:marTop w:val="300"/>
                      <w:marBottom w:val="300"/>
                      <w:divBdr>
                        <w:top w:val="none" w:sz="0" w:space="0" w:color="auto"/>
                        <w:left w:val="none" w:sz="0" w:space="0" w:color="auto"/>
                        <w:bottom w:val="none" w:sz="0" w:space="0" w:color="auto"/>
                        <w:right w:val="none" w:sz="0" w:space="0" w:color="auto"/>
                      </w:divBdr>
                      <w:divsChild>
                        <w:div w:id="1256934400">
                          <w:marLeft w:val="0"/>
                          <w:marRight w:val="0"/>
                          <w:marTop w:val="0"/>
                          <w:marBottom w:val="0"/>
                          <w:divBdr>
                            <w:top w:val="none" w:sz="0" w:space="0" w:color="auto"/>
                            <w:left w:val="none" w:sz="0" w:space="0" w:color="auto"/>
                            <w:bottom w:val="none" w:sz="0" w:space="0" w:color="auto"/>
                            <w:right w:val="none" w:sz="0" w:space="0" w:color="auto"/>
                          </w:divBdr>
                        </w:div>
                      </w:divsChild>
                    </w:div>
                    <w:div w:id="999456648">
                      <w:marLeft w:val="900"/>
                      <w:marRight w:val="0"/>
                      <w:marTop w:val="0"/>
                      <w:marBottom w:val="300"/>
                      <w:divBdr>
                        <w:top w:val="none" w:sz="0" w:space="0" w:color="auto"/>
                        <w:left w:val="none" w:sz="0" w:space="0" w:color="auto"/>
                        <w:bottom w:val="none" w:sz="0" w:space="0" w:color="auto"/>
                        <w:right w:val="none" w:sz="0" w:space="0" w:color="auto"/>
                      </w:divBdr>
                    </w:div>
                    <w:div w:id="640501459">
                      <w:marLeft w:val="1350"/>
                      <w:marRight w:val="0"/>
                      <w:marTop w:val="300"/>
                      <w:marBottom w:val="300"/>
                      <w:divBdr>
                        <w:top w:val="none" w:sz="0" w:space="0" w:color="auto"/>
                        <w:left w:val="none" w:sz="0" w:space="0" w:color="auto"/>
                        <w:bottom w:val="none" w:sz="0" w:space="0" w:color="auto"/>
                        <w:right w:val="none" w:sz="0" w:space="0" w:color="auto"/>
                      </w:divBdr>
                      <w:divsChild>
                        <w:div w:id="879821475">
                          <w:marLeft w:val="0"/>
                          <w:marRight w:val="0"/>
                          <w:marTop w:val="0"/>
                          <w:marBottom w:val="0"/>
                          <w:divBdr>
                            <w:top w:val="none" w:sz="0" w:space="0" w:color="auto"/>
                            <w:left w:val="none" w:sz="0" w:space="0" w:color="auto"/>
                            <w:bottom w:val="none" w:sz="0" w:space="0" w:color="auto"/>
                            <w:right w:val="none" w:sz="0" w:space="0" w:color="auto"/>
                          </w:divBdr>
                        </w:div>
                      </w:divsChild>
                    </w:div>
                    <w:div w:id="637994183">
                      <w:marLeft w:val="900"/>
                      <w:marRight w:val="0"/>
                      <w:marTop w:val="0"/>
                      <w:marBottom w:val="300"/>
                      <w:divBdr>
                        <w:top w:val="none" w:sz="0" w:space="0" w:color="auto"/>
                        <w:left w:val="none" w:sz="0" w:space="0" w:color="auto"/>
                        <w:bottom w:val="none" w:sz="0" w:space="0" w:color="auto"/>
                        <w:right w:val="none" w:sz="0" w:space="0" w:color="auto"/>
                      </w:divBdr>
                    </w:div>
                    <w:div w:id="1376389832">
                      <w:marLeft w:val="1350"/>
                      <w:marRight w:val="0"/>
                      <w:marTop w:val="300"/>
                      <w:marBottom w:val="300"/>
                      <w:divBdr>
                        <w:top w:val="none" w:sz="0" w:space="0" w:color="auto"/>
                        <w:left w:val="none" w:sz="0" w:space="0" w:color="auto"/>
                        <w:bottom w:val="none" w:sz="0" w:space="0" w:color="auto"/>
                        <w:right w:val="none" w:sz="0" w:space="0" w:color="auto"/>
                      </w:divBdr>
                      <w:divsChild>
                        <w:div w:id="1557007406">
                          <w:marLeft w:val="0"/>
                          <w:marRight w:val="0"/>
                          <w:marTop w:val="0"/>
                          <w:marBottom w:val="0"/>
                          <w:divBdr>
                            <w:top w:val="none" w:sz="0" w:space="0" w:color="auto"/>
                            <w:left w:val="none" w:sz="0" w:space="0" w:color="auto"/>
                            <w:bottom w:val="none" w:sz="0" w:space="0" w:color="auto"/>
                            <w:right w:val="none" w:sz="0" w:space="0" w:color="auto"/>
                          </w:divBdr>
                        </w:div>
                      </w:divsChild>
                    </w:div>
                    <w:div w:id="837424853">
                      <w:marLeft w:val="900"/>
                      <w:marRight w:val="0"/>
                      <w:marTop w:val="0"/>
                      <w:marBottom w:val="300"/>
                      <w:divBdr>
                        <w:top w:val="none" w:sz="0" w:space="0" w:color="auto"/>
                        <w:left w:val="none" w:sz="0" w:space="0" w:color="auto"/>
                        <w:bottom w:val="none" w:sz="0" w:space="0" w:color="auto"/>
                        <w:right w:val="none" w:sz="0" w:space="0" w:color="auto"/>
                      </w:divBdr>
                    </w:div>
                    <w:div w:id="157233335">
                      <w:marLeft w:val="1350"/>
                      <w:marRight w:val="0"/>
                      <w:marTop w:val="300"/>
                      <w:marBottom w:val="300"/>
                      <w:divBdr>
                        <w:top w:val="none" w:sz="0" w:space="0" w:color="auto"/>
                        <w:left w:val="none" w:sz="0" w:space="0" w:color="auto"/>
                        <w:bottom w:val="none" w:sz="0" w:space="0" w:color="auto"/>
                        <w:right w:val="none" w:sz="0" w:space="0" w:color="auto"/>
                      </w:divBdr>
                      <w:divsChild>
                        <w:div w:id="51660024">
                          <w:marLeft w:val="0"/>
                          <w:marRight w:val="0"/>
                          <w:marTop w:val="0"/>
                          <w:marBottom w:val="0"/>
                          <w:divBdr>
                            <w:top w:val="none" w:sz="0" w:space="0" w:color="auto"/>
                            <w:left w:val="none" w:sz="0" w:space="0" w:color="auto"/>
                            <w:bottom w:val="none" w:sz="0" w:space="0" w:color="auto"/>
                            <w:right w:val="none" w:sz="0" w:space="0" w:color="auto"/>
                          </w:divBdr>
                        </w:div>
                      </w:divsChild>
                    </w:div>
                    <w:div w:id="26220037">
                      <w:marLeft w:val="900"/>
                      <w:marRight w:val="0"/>
                      <w:marTop w:val="0"/>
                      <w:marBottom w:val="300"/>
                      <w:divBdr>
                        <w:top w:val="none" w:sz="0" w:space="0" w:color="auto"/>
                        <w:left w:val="none" w:sz="0" w:space="0" w:color="auto"/>
                        <w:bottom w:val="none" w:sz="0" w:space="0" w:color="auto"/>
                        <w:right w:val="none" w:sz="0" w:space="0" w:color="auto"/>
                      </w:divBdr>
                    </w:div>
                    <w:div w:id="1644656515">
                      <w:marLeft w:val="1350"/>
                      <w:marRight w:val="0"/>
                      <w:marTop w:val="300"/>
                      <w:marBottom w:val="300"/>
                      <w:divBdr>
                        <w:top w:val="none" w:sz="0" w:space="0" w:color="auto"/>
                        <w:left w:val="none" w:sz="0" w:space="0" w:color="auto"/>
                        <w:bottom w:val="none" w:sz="0" w:space="0" w:color="auto"/>
                        <w:right w:val="none" w:sz="0" w:space="0" w:color="auto"/>
                      </w:divBdr>
                      <w:divsChild>
                        <w:div w:id="1457065854">
                          <w:marLeft w:val="0"/>
                          <w:marRight w:val="0"/>
                          <w:marTop w:val="0"/>
                          <w:marBottom w:val="0"/>
                          <w:divBdr>
                            <w:top w:val="none" w:sz="0" w:space="0" w:color="auto"/>
                            <w:left w:val="none" w:sz="0" w:space="0" w:color="auto"/>
                            <w:bottom w:val="none" w:sz="0" w:space="0" w:color="auto"/>
                            <w:right w:val="none" w:sz="0" w:space="0" w:color="auto"/>
                          </w:divBdr>
                        </w:div>
                      </w:divsChild>
                    </w:div>
                    <w:div w:id="199175406">
                      <w:marLeft w:val="900"/>
                      <w:marRight w:val="0"/>
                      <w:marTop w:val="0"/>
                      <w:marBottom w:val="300"/>
                      <w:divBdr>
                        <w:top w:val="none" w:sz="0" w:space="0" w:color="auto"/>
                        <w:left w:val="none" w:sz="0" w:space="0" w:color="auto"/>
                        <w:bottom w:val="none" w:sz="0" w:space="0" w:color="auto"/>
                        <w:right w:val="none" w:sz="0" w:space="0" w:color="auto"/>
                      </w:divBdr>
                    </w:div>
                    <w:div w:id="2117750522">
                      <w:marLeft w:val="1350"/>
                      <w:marRight w:val="0"/>
                      <w:marTop w:val="300"/>
                      <w:marBottom w:val="300"/>
                      <w:divBdr>
                        <w:top w:val="none" w:sz="0" w:space="0" w:color="auto"/>
                        <w:left w:val="none" w:sz="0" w:space="0" w:color="auto"/>
                        <w:bottom w:val="none" w:sz="0" w:space="0" w:color="auto"/>
                        <w:right w:val="none" w:sz="0" w:space="0" w:color="auto"/>
                      </w:divBdr>
                      <w:divsChild>
                        <w:div w:id="947539706">
                          <w:marLeft w:val="0"/>
                          <w:marRight w:val="0"/>
                          <w:marTop w:val="0"/>
                          <w:marBottom w:val="0"/>
                          <w:divBdr>
                            <w:top w:val="none" w:sz="0" w:space="0" w:color="auto"/>
                            <w:left w:val="none" w:sz="0" w:space="0" w:color="auto"/>
                            <w:bottom w:val="none" w:sz="0" w:space="0" w:color="auto"/>
                            <w:right w:val="none" w:sz="0" w:space="0" w:color="auto"/>
                          </w:divBdr>
                        </w:div>
                      </w:divsChild>
                    </w:div>
                    <w:div w:id="1986349300">
                      <w:marLeft w:val="900"/>
                      <w:marRight w:val="0"/>
                      <w:marTop w:val="0"/>
                      <w:marBottom w:val="300"/>
                      <w:divBdr>
                        <w:top w:val="none" w:sz="0" w:space="0" w:color="auto"/>
                        <w:left w:val="none" w:sz="0" w:space="0" w:color="auto"/>
                        <w:bottom w:val="none" w:sz="0" w:space="0" w:color="auto"/>
                        <w:right w:val="none" w:sz="0" w:space="0" w:color="auto"/>
                      </w:divBdr>
                    </w:div>
                    <w:div w:id="1912037519">
                      <w:marLeft w:val="1350"/>
                      <w:marRight w:val="0"/>
                      <w:marTop w:val="300"/>
                      <w:marBottom w:val="300"/>
                      <w:divBdr>
                        <w:top w:val="none" w:sz="0" w:space="0" w:color="auto"/>
                        <w:left w:val="none" w:sz="0" w:space="0" w:color="auto"/>
                        <w:bottom w:val="none" w:sz="0" w:space="0" w:color="auto"/>
                        <w:right w:val="none" w:sz="0" w:space="0" w:color="auto"/>
                      </w:divBdr>
                      <w:divsChild>
                        <w:div w:id="1615283531">
                          <w:marLeft w:val="0"/>
                          <w:marRight w:val="0"/>
                          <w:marTop w:val="0"/>
                          <w:marBottom w:val="0"/>
                          <w:divBdr>
                            <w:top w:val="none" w:sz="0" w:space="0" w:color="auto"/>
                            <w:left w:val="none" w:sz="0" w:space="0" w:color="auto"/>
                            <w:bottom w:val="none" w:sz="0" w:space="0" w:color="auto"/>
                            <w:right w:val="none" w:sz="0" w:space="0" w:color="auto"/>
                          </w:divBdr>
                        </w:div>
                      </w:divsChild>
                    </w:div>
                    <w:div w:id="2086341402">
                      <w:marLeft w:val="900"/>
                      <w:marRight w:val="0"/>
                      <w:marTop w:val="0"/>
                      <w:marBottom w:val="300"/>
                      <w:divBdr>
                        <w:top w:val="none" w:sz="0" w:space="0" w:color="auto"/>
                        <w:left w:val="none" w:sz="0" w:space="0" w:color="auto"/>
                        <w:bottom w:val="none" w:sz="0" w:space="0" w:color="auto"/>
                        <w:right w:val="none" w:sz="0" w:space="0" w:color="auto"/>
                      </w:divBdr>
                    </w:div>
                    <w:div w:id="1804737696">
                      <w:marLeft w:val="1350"/>
                      <w:marRight w:val="0"/>
                      <w:marTop w:val="300"/>
                      <w:marBottom w:val="300"/>
                      <w:divBdr>
                        <w:top w:val="none" w:sz="0" w:space="0" w:color="auto"/>
                        <w:left w:val="none" w:sz="0" w:space="0" w:color="auto"/>
                        <w:bottom w:val="none" w:sz="0" w:space="0" w:color="auto"/>
                        <w:right w:val="none" w:sz="0" w:space="0" w:color="auto"/>
                      </w:divBdr>
                      <w:divsChild>
                        <w:div w:id="1741322565">
                          <w:marLeft w:val="0"/>
                          <w:marRight w:val="0"/>
                          <w:marTop w:val="0"/>
                          <w:marBottom w:val="0"/>
                          <w:divBdr>
                            <w:top w:val="none" w:sz="0" w:space="0" w:color="auto"/>
                            <w:left w:val="none" w:sz="0" w:space="0" w:color="auto"/>
                            <w:bottom w:val="none" w:sz="0" w:space="0" w:color="auto"/>
                            <w:right w:val="none" w:sz="0" w:space="0" w:color="auto"/>
                          </w:divBdr>
                        </w:div>
                      </w:divsChild>
                    </w:div>
                    <w:div w:id="630132822">
                      <w:marLeft w:val="900"/>
                      <w:marRight w:val="0"/>
                      <w:marTop w:val="0"/>
                      <w:marBottom w:val="300"/>
                      <w:divBdr>
                        <w:top w:val="none" w:sz="0" w:space="0" w:color="auto"/>
                        <w:left w:val="none" w:sz="0" w:space="0" w:color="auto"/>
                        <w:bottom w:val="none" w:sz="0" w:space="0" w:color="auto"/>
                        <w:right w:val="none" w:sz="0" w:space="0" w:color="auto"/>
                      </w:divBdr>
                    </w:div>
                    <w:div w:id="1642035586">
                      <w:marLeft w:val="1350"/>
                      <w:marRight w:val="0"/>
                      <w:marTop w:val="300"/>
                      <w:marBottom w:val="300"/>
                      <w:divBdr>
                        <w:top w:val="none" w:sz="0" w:space="0" w:color="auto"/>
                        <w:left w:val="none" w:sz="0" w:space="0" w:color="auto"/>
                        <w:bottom w:val="none" w:sz="0" w:space="0" w:color="auto"/>
                        <w:right w:val="none" w:sz="0" w:space="0" w:color="auto"/>
                      </w:divBdr>
                      <w:divsChild>
                        <w:div w:id="108495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7893">
                  <w:marLeft w:val="525"/>
                  <w:marRight w:val="0"/>
                  <w:marTop w:val="300"/>
                  <w:marBottom w:val="300"/>
                  <w:divBdr>
                    <w:top w:val="none" w:sz="0" w:space="0" w:color="auto"/>
                    <w:left w:val="none" w:sz="0" w:space="0" w:color="auto"/>
                    <w:bottom w:val="none" w:sz="0" w:space="0" w:color="auto"/>
                    <w:right w:val="none" w:sz="0" w:space="0" w:color="auto"/>
                  </w:divBdr>
                </w:div>
                <w:div w:id="107970527">
                  <w:marLeft w:val="0"/>
                  <w:marRight w:val="0"/>
                  <w:marTop w:val="0"/>
                  <w:marBottom w:val="0"/>
                  <w:divBdr>
                    <w:top w:val="none" w:sz="0" w:space="0" w:color="auto"/>
                    <w:left w:val="none" w:sz="0" w:space="0" w:color="auto"/>
                    <w:bottom w:val="none" w:sz="0" w:space="0" w:color="auto"/>
                    <w:right w:val="none" w:sz="0" w:space="0" w:color="auto"/>
                  </w:divBdr>
                  <w:divsChild>
                    <w:div w:id="777720205">
                      <w:marLeft w:val="900"/>
                      <w:marRight w:val="0"/>
                      <w:marTop w:val="0"/>
                      <w:marBottom w:val="300"/>
                      <w:divBdr>
                        <w:top w:val="none" w:sz="0" w:space="0" w:color="auto"/>
                        <w:left w:val="none" w:sz="0" w:space="0" w:color="auto"/>
                        <w:bottom w:val="none" w:sz="0" w:space="0" w:color="auto"/>
                        <w:right w:val="none" w:sz="0" w:space="0" w:color="auto"/>
                      </w:divBdr>
                    </w:div>
                    <w:div w:id="55204179">
                      <w:marLeft w:val="1350"/>
                      <w:marRight w:val="0"/>
                      <w:marTop w:val="300"/>
                      <w:marBottom w:val="300"/>
                      <w:divBdr>
                        <w:top w:val="none" w:sz="0" w:space="0" w:color="auto"/>
                        <w:left w:val="none" w:sz="0" w:space="0" w:color="auto"/>
                        <w:bottom w:val="none" w:sz="0" w:space="0" w:color="auto"/>
                        <w:right w:val="none" w:sz="0" w:space="0" w:color="auto"/>
                      </w:divBdr>
                      <w:divsChild>
                        <w:div w:id="1799641254">
                          <w:marLeft w:val="0"/>
                          <w:marRight w:val="0"/>
                          <w:marTop w:val="0"/>
                          <w:marBottom w:val="0"/>
                          <w:divBdr>
                            <w:top w:val="none" w:sz="0" w:space="0" w:color="auto"/>
                            <w:left w:val="none" w:sz="0" w:space="0" w:color="auto"/>
                            <w:bottom w:val="none" w:sz="0" w:space="0" w:color="auto"/>
                            <w:right w:val="none" w:sz="0" w:space="0" w:color="auto"/>
                          </w:divBdr>
                        </w:div>
                      </w:divsChild>
                    </w:div>
                    <w:div w:id="1800951921">
                      <w:marLeft w:val="900"/>
                      <w:marRight w:val="0"/>
                      <w:marTop w:val="0"/>
                      <w:marBottom w:val="300"/>
                      <w:divBdr>
                        <w:top w:val="none" w:sz="0" w:space="0" w:color="auto"/>
                        <w:left w:val="none" w:sz="0" w:space="0" w:color="auto"/>
                        <w:bottom w:val="none" w:sz="0" w:space="0" w:color="auto"/>
                        <w:right w:val="none" w:sz="0" w:space="0" w:color="auto"/>
                      </w:divBdr>
                    </w:div>
                    <w:div w:id="1444878853">
                      <w:marLeft w:val="1350"/>
                      <w:marRight w:val="0"/>
                      <w:marTop w:val="300"/>
                      <w:marBottom w:val="300"/>
                      <w:divBdr>
                        <w:top w:val="none" w:sz="0" w:space="0" w:color="auto"/>
                        <w:left w:val="none" w:sz="0" w:space="0" w:color="auto"/>
                        <w:bottom w:val="none" w:sz="0" w:space="0" w:color="auto"/>
                        <w:right w:val="none" w:sz="0" w:space="0" w:color="auto"/>
                      </w:divBdr>
                      <w:divsChild>
                        <w:div w:id="405613059">
                          <w:marLeft w:val="0"/>
                          <w:marRight w:val="0"/>
                          <w:marTop w:val="0"/>
                          <w:marBottom w:val="0"/>
                          <w:divBdr>
                            <w:top w:val="none" w:sz="0" w:space="0" w:color="auto"/>
                            <w:left w:val="none" w:sz="0" w:space="0" w:color="auto"/>
                            <w:bottom w:val="none" w:sz="0" w:space="0" w:color="auto"/>
                            <w:right w:val="none" w:sz="0" w:space="0" w:color="auto"/>
                          </w:divBdr>
                        </w:div>
                      </w:divsChild>
                    </w:div>
                    <w:div w:id="1204290655">
                      <w:marLeft w:val="900"/>
                      <w:marRight w:val="0"/>
                      <w:marTop w:val="0"/>
                      <w:marBottom w:val="300"/>
                      <w:divBdr>
                        <w:top w:val="none" w:sz="0" w:space="0" w:color="auto"/>
                        <w:left w:val="none" w:sz="0" w:space="0" w:color="auto"/>
                        <w:bottom w:val="none" w:sz="0" w:space="0" w:color="auto"/>
                        <w:right w:val="none" w:sz="0" w:space="0" w:color="auto"/>
                      </w:divBdr>
                    </w:div>
                    <w:div w:id="1287271673">
                      <w:marLeft w:val="1350"/>
                      <w:marRight w:val="0"/>
                      <w:marTop w:val="300"/>
                      <w:marBottom w:val="300"/>
                      <w:divBdr>
                        <w:top w:val="none" w:sz="0" w:space="0" w:color="auto"/>
                        <w:left w:val="none" w:sz="0" w:space="0" w:color="auto"/>
                        <w:bottom w:val="none" w:sz="0" w:space="0" w:color="auto"/>
                        <w:right w:val="none" w:sz="0" w:space="0" w:color="auto"/>
                      </w:divBdr>
                      <w:divsChild>
                        <w:div w:id="1212498917">
                          <w:marLeft w:val="0"/>
                          <w:marRight w:val="0"/>
                          <w:marTop w:val="0"/>
                          <w:marBottom w:val="0"/>
                          <w:divBdr>
                            <w:top w:val="none" w:sz="0" w:space="0" w:color="auto"/>
                            <w:left w:val="none" w:sz="0" w:space="0" w:color="auto"/>
                            <w:bottom w:val="none" w:sz="0" w:space="0" w:color="auto"/>
                            <w:right w:val="none" w:sz="0" w:space="0" w:color="auto"/>
                          </w:divBdr>
                        </w:div>
                      </w:divsChild>
                    </w:div>
                    <w:div w:id="1192763554">
                      <w:marLeft w:val="900"/>
                      <w:marRight w:val="0"/>
                      <w:marTop w:val="0"/>
                      <w:marBottom w:val="300"/>
                      <w:divBdr>
                        <w:top w:val="none" w:sz="0" w:space="0" w:color="auto"/>
                        <w:left w:val="none" w:sz="0" w:space="0" w:color="auto"/>
                        <w:bottom w:val="none" w:sz="0" w:space="0" w:color="auto"/>
                        <w:right w:val="none" w:sz="0" w:space="0" w:color="auto"/>
                      </w:divBdr>
                    </w:div>
                    <w:div w:id="1176194744">
                      <w:marLeft w:val="1350"/>
                      <w:marRight w:val="0"/>
                      <w:marTop w:val="300"/>
                      <w:marBottom w:val="300"/>
                      <w:divBdr>
                        <w:top w:val="none" w:sz="0" w:space="0" w:color="auto"/>
                        <w:left w:val="none" w:sz="0" w:space="0" w:color="auto"/>
                        <w:bottom w:val="none" w:sz="0" w:space="0" w:color="auto"/>
                        <w:right w:val="none" w:sz="0" w:space="0" w:color="auto"/>
                      </w:divBdr>
                      <w:divsChild>
                        <w:div w:id="2104185200">
                          <w:marLeft w:val="0"/>
                          <w:marRight w:val="0"/>
                          <w:marTop w:val="0"/>
                          <w:marBottom w:val="0"/>
                          <w:divBdr>
                            <w:top w:val="none" w:sz="0" w:space="0" w:color="auto"/>
                            <w:left w:val="none" w:sz="0" w:space="0" w:color="auto"/>
                            <w:bottom w:val="none" w:sz="0" w:space="0" w:color="auto"/>
                            <w:right w:val="none" w:sz="0" w:space="0" w:color="auto"/>
                          </w:divBdr>
                        </w:div>
                      </w:divsChild>
                    </w:div>
                    <w:div w:id="1999730036">
                      <w:marLeft w:val="900"/>
                      <w:marRight w:val="0"/>
                      <w:marTop w:val="0"/>
                      <w:marBottom w:val="300"/>
                      <w:divBdr>
                        <w:top w:val="none" w:sz="0" w:space="0" w:color="auto"/>
                        <w:left w:val="none" w:sz="0" w:space="0" w:color="auto"/>
                        <w:bottom w:val="none" w:sz="0" w:space="0" w:color="auto"/>
                        <w:right w:val="none" w:sz="0" w:space="0" w:color="auto"/>
                      </w:divBdr>
                    </w:div>
                    <w:div w:id="1770615847">
                      <w:marLeft w:val="1350"/>
                      <w:marRight w:val="0"/>
                      <w:marTop w:val="300"/>
                      <w:marBottom w:val="300"/>
                      <w:divBdr>
                        <w:top w:val="none" w:sz="0" w:space="0" w:color="auto"/>
                        <w:left w:val="none" w:sz="0" w:space="0" w:color="auto"/>
                        <w:bottom w:val="none" w:sz="0" w:space="0" w:color="auto"/>
                        <w:right w:val="none" w:sz="0" w:space="0" w:color="auto"/>
                      </w:divBdr>
                      <w:divsChild>
                        <w:div w:id="341711720">
                          <w:marLeft w:val="0"/>
                          <w:marRight w:val="0"/>
                          <w:marTop w:val="0"/>
                          <w:marBottom w:val="0"/>
                          <w:divBdr>
                            <w:top w:val="none" w:sz="0" w:space="0" w:color="auto"/>
                            <w:left w:val="none" w:sz="0" w:space="0" w:color="auto"/>
                            <w:bottom w:val="none" w:sz="0" w:space="0" w:color="auto"/>
                            <w:right w:val="none" w:sz="0" w:space="0" w:color="auto"/>
                          </w:divBdr>
                        </w:div>
                      </w:divsChild>
                    </w:div>
                    <w:div w:id="855777364">
                      <w:marLeft w:val="900"/>
                      <w:marRight w:val="0"/>
                      <w:marTop w:val="0"/>
                      <w:marBottom w:val="300"/>
                      <w:divBdr>
                        <w:top w:val="none" w:sz="0" w:space="0" w:color="auto"/>
                        <w:left w:val="none" w:sz="0" w:space="0" w:color="auto"/>
                        <w:bottom w:val="none" w:sz="0" w:space="0" w:color="auto"/>
                        <w:right w:val="none" w:sz="0" w:space="0" w:color="auto"/>
                      </w:divBdr>
                    </w:div>
                    <w:div w:id="483620766">
                      <w:marLeft w:val="1350"/>
                      <w:marRight w:val="0"/>
                      <w:marTop w:val="300"/>
                      <w:marBottom w:val="300"/>
                      <w:divBdr>
                        <w:top w:val="none" w:sz="0" w:space="0" w:color="auto"/>
                        <w:left w:val="none" w:sz="0" w:space="0" w:color="auto"/>
                        <w:bottom w:val="none" w:sz="0" w:space="0" w:color="auto"/>
                        <w:right w:val="none" w:sz="0" w:space="0" w:color="auto"/>
                      </w:divBdr>
                      <w:divsChild>
                        <w:div w:id="1064570201">
                          <w:marLeft w:val="0"/>
                          <w:marRight w:val="0"/>
                          <w:marTop w:val="0"/>
                          <w:marBottom w:val="0"/>
                          <w:divBdr>
                            <w:top w:val="none" w:sz="0" w:space="0" w:color="auto"/>
                            <w:left w:val="none" w:sz="0" w:space="0" w:color="auto"/>
                            <w:bottom w:val="none" w:sz="0" w:space="0" w:color="auto"/>
                            <w:right w:val="none" w:sz="0" w:space="0" w:color="auto"/>
                          </w:divBdr>
                        </w:div>
                      </w:divsChild>
                    </w:div>
                    <w:div w:id="129711970">
                      <w:marLeft w:val="900"/>
                      <w:marRight w:val="0"/>
                      <w:marTop w:val="0"/>
                      <w:marBottom w:val="300"/>
                      <w:divBdr>
                        <w:top w:val="none" w:sz="0" w:space="0" w:color="auto"/>
                        <w:left w:val="none" w:sz="0" w:space="0" w:color="auto"/>
                        <w:bottom w:val="none" w:sz="0" w:space="0" w:color="auto"/>
                        <w:right w:val="none" w:sz="0" w:space="0" w:color="auto"/>
                      </w:divBdr>
                    </w:div>
                    <w:div w:id="2016301622">
                      <w:marLeft w:val="1350"/>
                      <w:marRight w:val="0"/>
                      <w:marTop w:val="300"/>
                      <w:marBottom w:val="300"/>
                      <w:divBdr>
                        <w:top w:val="none" w:sz="0" w:space="0" w:color="auto"/>
                        <w:left w:val="none" w:sz="0" w:space="0" w:color="auto"/>
                        <w:bottom w:val="none" w:sz="0" w:space="0" w:color="auto"/>
                        <w:right w:val="none" w:sz="0" w:space="0" w:color="auto"/>
                      </w:divBdr>
                      <w:divsChild>
                        <w:div w:id="878397742">
                          <w:marLeft w:val="0"/>
                          <w:marRight w:val="0"/>
                          <w:marTop w:val="0"/>
                          <w:marBottom w:val="0"/>
                          <w:divBdr>
                            <w:top w:val="none" w:sz="0" w:space="0" w:color="auto"/>
                            <w:left w:val="none" w:sz="0" w:space="0" w:color="auto"/>
                            <w:bottom w:val="none" w:sz="0" w:space="0" w:color="auto"/>
                            <w:right w:val="none" w:sz="0" w:space="0" w:color="auto"/>
                          </w:divBdr>
                        </w:div>
                      </w:divsChild>
                    </w:div>
                    <w:div w:id="1955822723">
                      <w:marLeft w:val="900"/>
                      <w:marRight w:val="0"/>
                      <w:marTop w:val="0"/>
                      <w:marBottom w:val="300"/>
                      <w:divBdr>
                        <w:top w:val="none" w:sz="0" w:space="0" w:color="auto"/>
                        <w:left w:val="none" w:sz="0" w:space="0" w:color="auto"/>
                        <w:bottom w:val="none" w:sz="0" w:space="0" w:color="auto"/>
                        <w:right w:val="none" w:sz="0" w:space="0" w:color="auto"/>
                      </w:divBdr>
                    </w:div>
                    <w:div w:id="1874683351">
                      <w:marLeft w:val="1350"/>
                      <w:marRight w:val="0"/>
                      <w:marTop w:val="300"/>
                      <w:marBottom w:val="300"/>
                      <w:divBdr>
                        <w:top w:val="none" w:sz="0" w:space="0" w:color="auto"/>
                        <w:left w:val="none" w:sz="0" w:space="0" w:color="auto"/>
                        <w:bottom w:val="none" w:sz="0" w:space="0" w:color="auto"/>
                        <w:right w:val="none" w:sz="0" w:space="0" w:color="auto"/>
                      </w:divBdr>
                      <w:divsChild>
                        <w:div w:id="1503741746">
                          <w:marLeft w:val="0"/>
                          <w:marRight w:val="0"/>
                          <w:marTop w:val="0"/>
                          <w:marBottom w:val="0"/>
                          <w:divBdr>
                            <w:top w:val="none" w:sz="0" w:space="0" w:color="auto"/>
                            <w:left w:val="none" w:sz="0" w:space="0" w:color="auto"/>
                            <w:bottom w:val="none" w:sz="0" w:space="0" w:color="auto"/>
                            <w:right w:val="none" w:sz="0" w:space="0" w:color="auto"/>
                          </w:divBdr>
                        </w:div>
                      </w:divsChild>
                    </w:div>
                    <w:div w:id="2140688724">
                      <w:marLeft w:val="900"/>
                      <w:marRight w:val="0"/>
                      <w:marTop w:val="0"/>
                      <w:marBottom w:val="300"/>
                      <w:divBdr>
                        <w:top w:val="none" w:sz="0" w:space="0" w:color="auto"/>
                        <w:left w:val="none" w:sz="0" w:space="0" w:color="auto"/>
                        <w:bottom w:val="none" w:sz="0" w:space="0" w:color="auto"/>
                        <w:right w:val="none" w:sz="0" w:space="0" w:color="auto"/>
                      </w:divBdr>
                    </w:div>
                    <w:div w:id="527062086">
                      <w:marLeft w:val="1350"/>
                      <w:marRight w:val="0"/>
                      <w:marTop w:val="300"/>
                      <w:marBottom w:val="300"/>
                      <w:divBdr>
                        <w:top w:val="none" w:sz="0" w:space="0" w:color="auto"/>
                        <w:left w:val="none" w:sz="0" w:space="0" w:color="auto"/>
                        <w:bottom w:val="none" w:sz="0" w:space="0" w:color="auto"/>
                        <w:right w:val="none" w:sz="0" w:space="0" w:color="auto"/>
                      </w:divBdr>
                      <w:divsChild>
                        <w:div w:id="772437151">
                          <w:marLeft w:val="0"/>
                          <w:marRight w:val="0"/>
                          <w:marTop w:val="0"/>
                          <w:marBottom w:val="0"/>
                          <w:divBdr>
                            <w:top w:val="none" w:sz="0" w:space="0" w:color="auto"/>
                            <w:left w:val="none" w:sz="0" w:space="0" w:color="auto"/>
                            <w:bottom w:val="none" w:sz="0" w:space="0" w:color="auto"/>
                            <w:right w:val="none" w:sz="0" w:space="0" w:color="auto"/>
                          </w:divBdr>
                        </w:div>
                      </w:divsChild>
                    </w:div>
                    <w:div w:id="745035016">
                      <w:marLeft w:val="900"/>
                      <w:marRight w:val="0"/>
                      <w:marTop w:val="0"/>
                      <w:marBottom w:val="300"/>
                      <w:divBdr>
                        <w:top w:val="none" w:sz="0" w:space="0" w:color="auto"/>
                        <w:left w:val="none" w:sz="0" w:space="0" w:color="auto"/>
                        <w:bottom w:val="none" w:sz="0" w:space="0" w:color="auto"/>
                        <w:right w:val="none" w:sz="0" w:space="0" w:color="auto"/>
                      </w:divBdr>
                    </w:div>
                    <w:div w:id="12458890">
                      <w:marLeft w:val="1350"/>
                      <w:marRight w:val="0"/>
                      <w:marTop w:val="300"/>
                      <w:marBottom w:val="300"/>
                      <w:divBdr>
                        <w:top w:val="none" w:sz="0" w:space="0" w:color="auto"/>
                        <w:left w:val="none" w:sz="0" w:space="0" w:color="auto"/>
                        <w:bottom w:val="none" w:sz="0" w:space="0" w:color="auto"/>
                        <w:right w:val="none" w:sz="0" w:space="0" w:color="auto"/>
                      </w:divBdr>
                      <w:divsChild>
                        <w:div w:id="65676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9344432">
      <w:bodyDiv w:val="1"/>
      <w:marLeft w:val="0"/>
      <w:marRight w:val="0"/>
      <w:marTop w:val="0"/>
      <w:marBottom w:val="0"/>
      <w:divBdr>
        <w:top w:val="none" w:sz="0" w:space="0" w:color="auto"/>
        <w:left w:val="none" w:sz="0" w:space="0" w:color="auto"/>
        <w:bottom w:val="none" w:sz="0" w:space="0" w:color="auto"/>
        <w:right w:val="none" w:sz="0" w:space="0" w:color="auto"/>
      </w:divBdr>
      <w:divsChild>
        <w:div w:id="570385122">
          <w:marLeft w:val="0"/>
          <w:marRight w:val="0"/>
          <w:marTop w:val="0"/>
          <w:marBottom w:val="0"/>
          <w:divBdr>
            <w:top w:val="none" w:sz="0" w:space="0" w:color="auto"/>
            <w:left w:val="none" w:sz="0" w:space="0" w:color="auto"/>
            <w:bottom w:val="none" w:sz="0" w:space="0" w:color="auto"/>
            <w:right w:val="none" w:sz="0" w:space="0" w:color="auto"/>
          </w:divBdr>
          <w:divsChild>
            <w:div w:id="245849686">
              <w:marLeft w:val="0"/>
              <w:marRight w:val="0"/>
              <w:marTop w:val="0"/>
              <w:marBottom w:val="0"/>
              <w:divBdr>
                <w:top w:val="none" w:sz="0" w:space="0" w:color="auto"/>
                <w:left w:val="none" w:sz="0" w:space="0" w:color="auto"/>
                <w:bottom w:val="none" w:sz="0" w:space="0" w:color="auto"/>
                <w:right w:val="none" w:sz="0" w:space="0" w:color="auto"/>
              </w:divBdr>
              <w:divsChild>
                <w:div w:id="687295720">
                  <w:marLeft w:val="0"/>
                  <w:marRight w:val="0"/>
                  <w:marTop w:val="450"/>
                  <w:marBottom w:val="300"/>
                  <w:divBdr>
                    <w:top w:val="none" w:sz="0" w:space="0" w:color="auto"/>
                    <w:left w:val="none" w:sz="0" w:space="0" w:color="auto"/>
                    <w:bottom w:val="none" w:sz="0" w:space="0" w:color="auto"/>
                    <w:right w:val="none" w:sz="0" w:space="0" w:color="auto"/>
                  </w:divBdr>
                </w:div>
                <w:div w:id="1958562085">
                  <w:marLeft w:val="0"/>
                  <w:marRight w:val="0"/>
                  <w:marTop w:val="0"/>
                  <w:marBottom w:val="450"/>
                  <w:divBdr>
                    <w:top w:val="none" w:sz="0" w:space="0" w:color="auto"/>
                    <w:left w:val="none" w:sz="0" w:space="0" w:color="auto"/>
                    <w:bottom w:val="none" w:sz="0" w:space="0" w:color="auto"/>
                    <w:right w:val="none" w:sz="0" w:space="0" w:color="auto"/>
                  </w:divBdr>
                </w:div>
                <w:div w:id="1034621451">
                  <w:marLeft w:val="525"/>
                  <w:marRight w:val="0"/>
                  <w:marTop w:val="300"/>
                  <w:marBottom w:val="300"/>
                  <w:divBdr>
                    <w:top w:val="none" w:sz="0" w:space="0" w:color="auto"/>
                    <w:left w:val="none" w:sz="0" w:space="0" w:color="auto"/>
                    <w:bottom w:val="none" w:sz="0" w:space="0" w:color="auto"/>
                    <w:right w:val="none" w:sz="0" w:space="0" w:color="auto"/>
                  </w:divBdr>
                </w:div>
                <w:div w:id="1254438869">
                  <w:marLeft w:val="525"/>
                  <w:marRight w:val="0"/>
                  <w:marTop w:val="300"/>
                  <w:marBottom w:val="300"/>
                  <w:divBdr>
                    <w:top w:val="none" w:sz="0" w:space="0" w:color="auto"/>
                    <w:left w:val="none" w:sz="0" w:space="0" w:color="auto"/>
                    <w:bottom w:val="none" w:sz="0" w:space="0" w:color="auto"/>
                    <w:right w:val="none" w:sz="0" w:space="0" w:color="auto"/>
                  </w:divBdr>
                </w:div>
                <w:div w:id="1055423677">
                  <w:marLeft w:val="0"/>
                  <w:marRight w:val="0"/>
                  <w:marTop w:val="0"/>
                  <w:marBottom w:val="0"/>
                  <w:divBdr>
                    <w:top w:val="none" w:sz="0" w:space="0" w:color="auto"/>
                    <w:left w:val="none" w:sz="0" w:space="0" w:color="auto"/>
                    <w:bottom w:val="none" w:sz="0" w:space="0" w:color="auto"/>
                    <w:right w:val="none" w:sz="0" w:space="0" w:color="auto"/>
                  </w:divBdr>
                  <w:divsChild>
                    <w:div w:id="33234436">
                      <w:marLeft w:val="900"/>
                      <w:marRight w:val="0"/>
                      <w:marTop w:val="0"/>
                      <w:marBottom w:val="300"/>
                      <w:divBdr>
                        <w:top w:val="none" w:sz="0" w:space="0" w:color="auto"/>
                        <w:left w:val="none" w:sz="0" w:space="0" w:color="auto"/>
                        <w:bottom w:val="none" w:sz="0" w:space="0" w:color="auto"/>
                        <w:right w:val="none" w:sz="0" w:space="0" w:color="auto"/>
                      </w:divBdr>
                    </w:div>
                    <w:div w:id="1507473614">
                      <w:marLeft w:val="1350"/>
                      <w:marRight w:val="0"/>
                      <w:marTop w:val="300"/>
                      <w:marBottom w:val="300"/>
                      <w:divBdr>
                        <w:top w:val="none" w:sz="0" w:space="0" w:color="auto"/>
                        <w:left w:val="none" w:sz="0" w:space="0" w:color="auto"/>
                        <w:bottom w:val="none" w:sz="0" w:space="0" w:color="auto"/>
                        <w:right w:val="none" w:sz="0" w:space="0" w:color="auto"/>
                      </w:divBdr>
                      <w:divsChild>
                        <w:div w:id="34972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25354">
      <w:bodyDiv w:val="1"/>
      <w:marLeft w:val="0"/>
      <w:marRight w:val="0"/>
      <w:marTop w:val="0"/>
      <w:marBottom w:val="0"/>
      <w:divBdr>
        <w:top w:val="none" w:sz="0" w:space="0" w:color="auto"/>
        <w:left w:val="none" w:sz="0" w:space="0" w:color="auto"/>
        <w:bottom w:val="none" w:sz="0" w:space="0" w:color="auto"/>
        <w:right w:val="none" w:sz="0" w:space="0" w:color="auto"/>
      </w:divBdr>
      <w:divsChild>
        <w:div w:id="1292781093">
          <w:marLeft w:val="0"/>
          <w:marRight w:val="0"/>
          <w:marTop w:val="0"/>
          <w:marBottom w:val="0"/>
          <w:divBdr>
            <w:top w:val="none" w:sz="0" w:space="0" w:color="auto"/>
            <w:left w:val="none" w:sz="0" w:space="0" w:color="auto"/>
            <w:bottom w:val="none" w:sz="0" w:space="0" w:color="auto"/>
            <w:right w:val="none" w:sz="0" w:space="0" w:color="auto"/>
          </w:divBdr>
          <w:divsChild>
            <w:div w:id="1638800932">
              <w:marLeft w:val="0"/>
              <w:marRight w:val="0"/>
              <w:marTop w:val="0"/>
              <w:marBottom w:val="0"/>
              <w:divBdr>
                <w:top w:val="none" w:sz="0" w:space="0" w:color="auto"/>
                <w:left w:val="none" w:sz="0" w:space="0" w:color="auto"/>
                <w:bottom w:val="none" w:sz="0" w:space="0" w:color="auto"/>
                <w:right w:val="none" w:sz="0" w:space="0" w:color="auto"/>
              </w:divBdr>
              <w:divsChild>
                <w:div w:id="1436905960">
                  <w:marLeft w:val="0"/>
                  <w:marRight w:val="0"/>
                  <w:marTop w:val="450"/>
                  <w:marBottom w:val="300"/>
                  <w:divBdr>
                    <w:top w:val="none" w:sz="0" w:space="0" w:color="auto"/>
                    <w:left w:val="none" w:sz="0" w:space="0" w:color="auto"/>
                    <w:bottom w:val="none" w:sz="0" w:space="0" w:color="auto"/>
                    <w:right w:val="none" w:sz="0" w:space="0" w:color="auto"/>
                  </w:divBdr>
                </w:div>
                <w:div w:id="210770089">
                  <w:marLeft w:val="0"/>
                  <w:marRight w:val="0"/>
                  <w:marTop w:val="0"/>
                  <w:marBottom w:val="450"/>
                  <w:divBdr>
                    <w:top w:val="none" w:sz="0" w:space="0" w:color="auto"/>
                    <w:left w:val="none" w:sz="0" w:space="0" w:color="auto"/>
                    <w:bottom w:val="none" w:sz="0" w:space="0" w:color="auto"/>
                    <w:right w:val="none" w:sz="0" w:space="0" w:color="auto"/>
                  </w:divBdr>
                </w:div>
                <w:div w:id="614673369">
                  <w:marLeft w:val="525"/>
                  <w:marRight w:val="0"/>
                  <w:marTop w:val="300"/>
                  <w:marBottom w:val="300"/>
                  <w:divBdr>
                    <w:top w:val="none" w:sz="0" w:space="0" w:color="auto"/>
                    <w:left w:val="none" w:sz="0" w:space="0" w:color="auto"/>
                    <w:bottom w:val="none" w:sz="0" w:space="0" w:color="auto"/>
                    <w:right w:val="none" w:sz="0" w:space="0" w:color="auto"/>
                  </w:divBdr>
                </w:div>
                <w:div w:id="844323065">
                  <w:marLeft w:val="525"/>
                  <w:marRight w:val="0"/>
                  <w:marTop w:val="300"/>
                  <w:marBottom w:val="300"/>
                  <w:divBdr>
                    <w:top w:val="none" w:sz="0" w:space="0" w:color="auto"/>
                    <w:left w:val="none" w:sz="0" w:space="0" w:color="auto"/>
                    <w:bottom w:val="none" w:sz="0" w:space="0" w:color="auto"/>
                    <w:right w:val="none" w:sz="0" w:space="0" w:color="auto"/>
                  </w:divBdr>
                </w:div>
                <w:div w:id="1218083036">
                  <w:marLeft w:val="0"/>
                  <w:marRight w:val="0"/>
                  <w:marTop w:val="0"/>
                  <w:marBottom w:val="0"/>
                  <w:divBdr>
                    <w:top w:val="none" w:sz="0" w:space="0" w:color="auto"/>
                    <w:left w:val="none" w:sz="0" w:space="0" w:color="auto"/>
                    <w:bottom w:val="none" w:sz="0" w:space="0" w:color="auto"/>
                    <w:right w:val="none" w:sz="0" w:space="0" w:color="auto"/>
                  </w:divBdr>
                  <w:divsChild>
                    <w:div w:id="1961257977">
                      <w:marLeft w:val="900"/>
                      <w:marRight w:val="0"/>
                      <w:marTop w:val="0"/>
                      <w:marBottom w:val="300"/>
                      <w:divBdr>
                        <w:top w:val="none" w:sz="0" w:space="0" w:color="auto"/>
                        <w:left w:val="none" w:sz="0" w:space="0" w:color="auto"/>
                        <w:bottom w:val="none" w:sz="0" w:space="0" w:color="auto"/>
                        <w:right w:val="none" w:sz="0" w:space="0" w:color="auto"/>
                      </w:divBdr>
                    </w:div>
                    <w:div w:id="1103915842">
                      <w:marLeft w:val="1350"/>
                      <w:marRight w:val="0"/>
                      <w:marTop w:val="300"/>
                      <w:marBottom w:val="300"/>
                      <w:divBdr>
                        <w:top w:val="none" w:sz="0" w:space="0" w:color="auto"/>
                        <w:left w:val="none" w:sz="0" w:space="0" w:color="auto"/>
                        <w:bottom w:val="none" w:sz="0" w:space="0" w:color="auto"/>
                        <w:right w:val="none" w:sz="0" w:space="0" w:color="auto"/>
                      </w:divBdr>
                      <w:divsChild>
                        <w:div w:id="1382362260">
                          <w:marLeft w:val="0"/>
                          <w:marRight w:val="0"/>
                          <w:marTop w:val="0"/>
                          <w:marBottom w:val="0"/>
                          <w:divBdr>
                            <w:top w:val="none" w:sz="0" w:space="0" w:color="auto"/>
                            <w:left w:val="none" w:sz="0" w:space="0" w:color="auto"/>
                            <w:bottom w:val="none" w:sz="0" w:space="0" w:color="auto"/>
                            <w:right w:val="none" w:sz="0" w:space="0" w:color="auto"/>
                          </w:divBdr>
                        </w:div>
                      </w:divsChild>
                    </w:div>
                    <w:div w:id="1701777848">
                      <w:marLeft w:val="900"/>
                      <w:marRight w:val="0"/>
                      <w:marTop w:val="0"/>
                      <w:marBottom w:val="300"/>
                      <w:divBdr>
                        <w:top w:val="none" w:sz="0" w:space="0" w:color="auto"/>
                        <w:left w:val="none" w:sz="0" w:space="0" w:color="auto"/>
                        <w:bottom w:val="none" w:sz="0" w:space="0" w:color="auto"/>
                        <w:right w:val="none" w:sz="0" w:space="0" w:color="auto"/>
                      </w:divBdr>
                    </w:div>
                    <w:div w:id="494496804">
                      <w:marLeft w:val="1350"/>
                      <w:marRight w:val="0"/>
                      <w:marTop w:val="300"/>
                      <w:marBottom w:val="300"/>
                      <w:divBdr>
                        <w:top w:val="none" w:sz="0" w:space="0" w:color="auto"/>
                        <w:left w:val="none" w:sz="0" w:space="0" w:color="auto"/>
                        <w:bottom w:val="none" w:sz="0" w:space="0" w:color="auto"/>
                        <w:right w:val="none" w:sz="0" w:space="0" w:color="auto"/>
                      </w:divBdr>
                      <w:divsChild>
                        <w:div w:id="985160921">
                          <w:marLeft w:val="0"/>
                          <w:marRight w:val="0"/>
                          <w:marTop w:val="0"/>
                          <w:marBottom w:val="0"/>
                          <w:divBdr>
                            <w:top w:val="none" w:sz="0" w:space="0" w:color="auto"/>
                            <w:left w:val="none" w:sz="0" w:space="0" w:color="auto"/>
                            <w:bottom w:val="none" w:sz="0" w:space="0" w:color="auto"/>
                            <w:right w:val="none" w:sz="0" w:space="0" w:color="auto"/>
                          </w:divBdr>
                        </w:div>
                      </w:divsChild>
                    </w:div>
                    <w:div w:id="1404720830">
                      <w:marLeft w:val="900"/>
                      <w:marRight w:val="0"/>
                      <w:marTop w:val="0"/>
                      <w:marBottom w:val="300"/>
                      <w:divBdr>
                        <w:top w:val="none" w:sz="0" w:space="0" w:color="auto"/>
                        <w:left w:val="none" w:sz="0" w:space="0" w:color="auto"/>
                        <w:bottom w:val="none" w:sz="0" w:space="0" w:color="auto"/>
                        <w:right w:val="none" w:sz="0" w:space="0" w:color="auto"/>
                      </w:divBdr>
                    </w:div>
                    <w:div w:id="1332639815">
                      <w:marLeft w:val="1350"/>
                      <w:marRight w:val="0"/>
                      <w:marTop w:val="300"/>
                      <w:marBottom w:val="300"/>
                      <w:divBdr>
                        <w:top w:val="none" w:sz="0" w:space="0" w:color="auto"/>
                        <w:left w:val="none" w:sz="0" w:space="0" w:color="auto"/>
                        <w:bottom w:val="none" w:sz="0" w:space="0" w:color="auto"/>
                        <w:right w:val="none" w:sz="0" w:space="0" w:color="auto"/>
                      </w:divBdr>
                      <w:divsChild>
                        <w:div w:id="1448234362">
                          <w:marLeft w:val="0"/>
                          <w:marRight w:val="0"/>
                          <w:marTop w:val="0"/>
                          <w:marBottom w:val="0"/>
                          <w:divBdr>
                            <w:top w:val="none" w:sz="0" w:space="0" w:color="auto"/>
                            <w:left w:val="none" w:sz="0" w:space="0" w:color="auto"/>
                            <w:bottom w:val="none" w:sz="0" w:space="0" w:color="auto"/>
                            <w:right w:val="none" w:sz="0" w:space="0" w:color="auto"/>
                          </w:divBdr>
                        </w:div>
                      </w:divsChild>
                    </w:div>
                    <w:div w:id="1861553821">
                      <w:marLeft w:val="900"/>
                      <w:marRight w:val="0"/>
                      <w:marTop w:val="0"/>
                      <w:marBottom w:val="300"/>
                      <w:divBdr>
                        <w:top w:val="none" w:sz="0" w:space="0" w:color="auto"/>
                        <w:left w:val="none" w:sz="0" w:space="0" w:color="auto"/>
                        <w:bottom w:val="none" w:sz="0" w:space="0" w:color="auto"/>
                        <w:right w:val="none" w:sz="0" w:space="0" w:color="auto"/>
                      </w:divBdr>
                    </w:div>
                    <w:div w:id="1430929281">
                      <w:marLeft w:val="1350"/>
                      <w:marRight w:val="0"/>
                      <w:marTop w:val="300"/>
                      <w:marBottom w:val="300"/>
                      <w:divBdr>
                        <w:top w:val="none" w:sz="0" w:space="0" w:color="auto"/>
                        <w:left w:val="none" w:sz="0" w:space="0" w:color="auto"/>
                        <w:bottom w:val="none" w:sz="0" w:space="0" w:color="auto"/>
                        <w:right w:val="none" w:sz="0" w:space="0" w:color="auto"/>
                      </w:divBdr>
                      <w:divsChild>
                        <w:div w:id="615907810">
                          <w:marLeft w:val="0"/>
                          <w:marRight w:val="0"/>
                          <w:marTop w:val="0"/>
                          <w:marBottom w:val="0"/>
                          <w:divBdr>
                            <w:top w:val="none" w:sz="0" w:space="0" w:color="auto"/>
                            <w:left w:val="none" w:sz="0" w:space="0" w:color="auto"/>
                            <w:bottom w:val="none" w:sz="0" w:space="0" w:color="auto"/>
                            <w:right w:val="none" w:sz="0" w:space="0" w:color="auto"/>
                          </w:divBdr>
                        </w:div>
                      </w:divsChild>
                    </w:div>
                    <w:div w:id="1263993550">
                      <w:marLeft w:val="900"/>
                      <w:marRight w:val="0"/>
                      <w:marTop w:val="0"/>
                      <w:marBottom w:val="300"/>
                      <w:divBdr>
                        <w:top w:val="none" w:sz="0" w:space="0" w:color="auto"/>
                        <w:left w:val="none" w:sz="0" w:space="0" w:color="auto"/>
                        <w:bottom w:val="none" w:sz="0" w:space="0" w:color="auto"/>
                        <w:right w:val="none" w:sz="0" w:space="0" w:color="auto"/>
                      </w:divBdr>
                    </w:div>
                    <w:div w:id="1737893515">
                      <w:marLeft w:val="1350"/>
                      <w:marRight w:val="0"/>
                      <w:marTop w:val="300"/>
                      <w:marBottom w:val="300"/>
                      <w:divBdr>
                        <w:top w:val="none" w:sz="0" w:space="0" w:color="auto"/>
                        <w:left w:val="none" w:sz="0" w:space="0" w:color="auto"/>
                        <w:bottom w:val="none" w:sz="0" w:space="0" w:color="auto"/>
                        <w:right w:val="none" w:sz="0" w:space="0" w:color="auto"/>
                      </w:divBdr>
                      <w:divsChild>
                        <w:div w:id="253631863">
                          <w:marLeft w:val="0"/>
                          <w:marRight w:val="0"/>
                          <w:marTop w:val="0"/>
                          <w:marBottom w:val="0"/>
                          <w:divBdr>
                            <w:top w:val="none" w:sz="0" w:space="0" w:color="auto"/>
                            <w:left w:val="none" w:sz="0" w:space="0" w:color="auto"/>
                            <w:bottom w:val="none" w:sz="0" w:space="0" w:color="auto"/>
                            <w:right w:val="none" w:sz="0" w:space="0" w:color="auto"/>
                          </w:divBdr>
                        </w:div>
                      </w:divsChild>
                    </w:div>
                    <w:div w:id="975915794">
                      <w:marLeft w:val="900"/>
                      <w:marRight w:val="0"/>
                      <w:marTop w:val="0"/>
                      <w:marBottom w:val="300"/>
                      <w:divBdr>
                        <w:top w:val="none" w:sz="0" w:space="0" w:color="auto"/>
                        <w:left w:val="none" w:sz="0" w:space="0" w:color="auto"/>
                        <w:bottom w:val="none" w:sz="0" w:space="0" w:color="auto"/>
                        <w:right w:val="none" w:sz="0" w:space="0" w:color="auto"/>
                      </w:divBdr>
                    </w:div>
                    <w:div w:id="454372022">
                      <w:marLeft w:val="1350"/>
                      <w:marRight w:val="0"/>
                      <w:marTop w:val="300"/>
                      <w:marBottom w:val="300"/>
                      <w:divBdr>
                        <w:top w:val="none" w:sz="0" w:space="0" w:color="auto"/>
                        <w:left w:val="none" w:sz="0" w:space="0" w:color="auto"/>
                        <w:bottom w:val="none" w:sz="0" w:space="0" w:color="auto"/>
                        <w:right w:val="none" w:sz="0" w:space="0" w:color="auto"/>
                      </w:divBdr>
                      <w:divsChild>
                        <w:div w:id="2102096321">
                          <w:marLeft w:val="0"/>
                          <w:marRight w:val="0"/>
                          <w:marTop w:val="0"/>
                          <w:marBottom w:val="0"/>
                          <w:divBdr>
                            <w:top w:val="none" w:sz="0" w:space="0" w:color="auto"/>
                            <w:left w:val="none" w:sz="0" w:space="0" w:color="auto"/>
                            <w:bottom w:val="none" w:sz="0" w:space="0" w:color="auto"/>
                            <w:right w:val="none" w:sz="0" w:space="0" w:color="auto"/>
                          </w:divBdr>
                        </w:div>
                      </w:divsChild>
                    </w:div>
                    <w:div w:id="692532511">
                      <w:marLeft w:val="900"/>
                      <w:marRight w:val="0"/>
                      <w:marTop w:val="0"/>
                      <w:marBottom w:val="300"/>
                      <w:divBdr>
                        <w:top w:val="none" w:sz="0" w:space="0" w:color="auto"/>
                        <w:left w:val="none" w:sz="0" w:space="0" w:color="auto"/>
                        <w:bottom w:val="none" w:sz="0" w:space="0" w:color="auto"/>
                        <w:right w:val="none" w:sz="0" w:space="0" w:color="auto"/>
                      </w:divBdr>
                    </w:div>
                    <w:div w:id="307517546">
                      <w:marLeft w:val="1350"/>
                      <w:marRight w:val="0"/>
                      <w:marTop w:val="300"/>
                      <w:marBottom w:val="300"/>
                      <w:divBdr>
                        <w:top w:val="none" w:sz="0" w:space="0" w:color="auto"/>
                        <w:left w:val="none" w:sz="0" w:space="0" w:color="auto"/>
                        <w:bottom w:val="none" w:sz="0" w:space="0" w:color="auto"/>
                        <w:right w:val="none" w:sz="0" w:space="0" w:color="auto"/>
                      </w:divBdr>
                      <w:divsChild>
                        <w:div w:id="24523166">
                          <w:marLeft w:val="0"/>
                          <w:marRight w:val="0"/>
                          <w:marTop w:val="0"/>
                          <w:marBottom w:val="0"/>
                          <w:divBdr>
                            <w:top w:val="none" w:sz="0" w:space="0" w:color="auto"/>
                            <w:left w:val="none" w:sz="0" w:space="0" w:color="auto"/>
                            <w:bottom w:val="none" w:sz="0" w:space="0" w:color="auto"/>
                            <w:right w:val="none" w:sz="0" w:space="0" w:color="auto"/>
                          </w:divBdr>
                        </w:div>
                      </w:divsChild>
                    </w:div>
                    <w:div w:id="182060213">
                      <w:marLeft w:val="900"/>
                      <w:marRight w:val="0"/>
                      <w:marTop w:val="0"/>
                      <w:marBottom w:val="300"/>
                      <w:divBdr>
                        <w:top w:val="none" w:sz="0" w:space="0" w:color="auto"/>
                        <w:left w:val="none" w:sz="0" w:space="0" w:color="auto"/>
                        <w:bottom w:val="none" w:sz="0" w:space="0" w:color="auto"/>
                        <w:right w:val="none" w:sz="0" w:space="0" w:color="auto"/>
                      </w:divBdr>
                    </w:div>
                    <w:div w:id="1631858500">
                      <w:marLeft w:val="1350"/>
                      <w:marRight w:val="0"/>
                      <w:marTop w:val="300"/>
                      <w:marBottom w:val="300"/>
                      <w:divBdr>
                        <w:top w:val="none" w:sz="0" w:space="0" w:color="auto"/>
                        <w:left w:val="none" w:sz="0" w:space="0" w:color="auto"/>
                        <w:bottom w:val="none" w:sz="0" w:space="0" w:color="auto"/>
                        <w:right w:val="none" w:sz="0" w:space="0" w:color="auto"/>
                      </w:divBdr>
                      <w:divsChild>
                        <w:div w:id="701127909">
                          <w:marLeft w:val="0"/>
                          <w:marRight w:val="0"/>
                          <w:marTop w:val="0"/>
                          <w:marBottom w:val="0"/>
                          <w:divBdr>
                            <w:top w:val="none" w:sz="0" w:space="0" w:color="auto"/>
                            <w:left w:val="none" w:sz="0" w:space="0" w:color="auto"/>
                            <w:bottom w:val="none" w:sz="0" w:space="0" w:color="auto"/>
                            <w:right w:val="none" w:sz="0" w:space="0" w:color="auto"/>
                          </w:divBdr>
                        </w:div>
                      </w:divsChild>
                    </w:div>
                    <w:div w:id="1641770275">
                      <w:marLeft w:val="900"/>
                      <w:marRight w:val="0"/>
                      <w:marTop w:val="0"/>
                      <w:marBottom w:val="300"/>
                      <w:divBdr>
                        <w:top w:val="none" w:sz="0" w:space="0" w:color="auto"/>
                        <w:left w:val="none" w:sz="0" w:space="0" w:color="auto"/>
                        <w:bottom w:val="none" w:sz="0" w:space="0" w:color="auto"/>
                        <w:right w:val="none" w:sz="0" w:space="0" w:color="auto"/>
                      </w:divBdr>
                    </w:div>
                    <w:div w:id="1730884646">
                      <w:marLeft w:val="1350"/>
                      <w:marRight w:val="0"/>
                      <w:marTop w:val="300"/>
                      <w:marBottom w:val="300"/>
                      <w:divBdr>
                        <w:top w:val="none" w:sz="0" w:space="0" w:color="auto"/>
                        <w:left w:val="none" w:sz="0" w:space="0" w:color="auto"/>
                        <w:bottom w:val="none" w:sz="0" w:space="0" w:color="auto"/>
                        <w:right w:val="none" w:sz="0" w:space="0" w:color="auto"/>
                      </w:divBdr>
                      <w:divsChild>
                        <w:div w:id="2011910039">
                          <w:marLeft w:val="0"/>
                          <w:marRight w:val="0"/>
                          <w:marTop w:val="0"/>
                          <w:marBottom w:val="0"/>
                          <w:divBdr>
                            <w:top w:val="none" w:sz="0" w:space="0" w:color="auto"/>
                            <w:left w:val="none" w:sz="0" w:space="0" w:color="auto"/>
                            <w:bottom w:val="none" w:sz="0" w:space="0" w:color="auto"/>
                            <w:right w:val="none" w:sz="0" w:space="0" w:color="auto"/>
                          </w:divBdr>
                        </w:div>
                      </w:divsChild>
                    </w:div>
                    <w:div w:id="715852999">
                      <w:marLeft w:val="900"/>
                      <w:marRight w:val="0"/>
                      <w:marTop w:val="0"/>
                      <w:marBottom w:val="300"/>
                      <w:divBdr>
                        <w:top w:val="none" w:sz="0" w:space="0" w:color="auto"/>
                        <w:left w:val="none" w:sz="0" w:space="0" w:color="auto"/>
                        <w:bottom w:val="none" w:sz="0" w:space="0" w:color="auto"/>
                        <w:right w:val="none" w:sz="0" w:space="0" w:color="auto"/>
                      </w:divBdr>
                    </w:div>
                    <w:div w:id="617638571">
                      <w:marLeft w:val="1350"/>
                      <w:marRight w:val="0"/>
                      <w:marTop w:val="300"/>
                      <w:marBottom w:val="300"/>
                      <w:divBdr>
                        <w:top w:val="none" w:sz="0" w:space="0" w:color="auto"/>
                        <w:left w:val="none" w:sz="0" w:space="0" w:color="auto"/>
                        <w:bottom w:val="none" w:sz="0" w:space="0" w:color="auto"/>
                        <w:right w:val="none" w:sz="0" w:space="0" w:color="auto"/>
                      </w:divBdr>
                      <w:divsChild>
                        <w:div w:id="83626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3674">
                  <w:marLeft w:val="525"/>
                  <w:marRight w:val="0"/>
                  <w:marTop w:val="300"/>
                  <w:marBottom w:val="300"/>
                  <w:divBdr>
                    <w:top w:val="none" w:sz="0" w:space="0" w:color="auto"/>
                    <w:left w:val="none" w:sz="0" w:space="0" w:color="auto"/>
                    <w:bottom w:val="none" w:sz="0" w:space="0" w:color="auto"/>
                    <w:right w:val="none" w:sz="0" w:space="0" w:color="auto"/>
                  </w:divBdr>
                </w:div>
                <w:div w:id="816996441">
                  <w:marLeft w:val="0"/>
                  <w:marRight w:val="0"/>
                  <w:marTop w:val="0"/>
                  <w:marBottom w:val="0"/>
                  <w:divBdr>
                    <w:top w:val="none" w:sz="0" w:space="0" w:color="auto"/>
                    <w:left w:val="none" w:sz="0" w:space="0" w:color="auto"/>
                    <w:bottom w:val="none" w:sz="0" w:space="0" w:color="auto"/>
                    <w:right w:val="none" w:sz="0" w:space="0" w:color="auto"/>
                  </w:divBdr>
                  <w:divsChild>
                    <w:div w:id="1472165729">
                      <w:marLeft w:val="900"/>
                      <w:marRight w:val="0"/>
                      <w:marTop w:val="0"/>
                      <w:marBottom w:val="300"/>
                      <w:divBdr>
                        <w:top w:val="none" w:sz="0" w:space="0" w:color="auto"/>
                        <w:left w:val="none" w:sz="0" w:space="0" w:color="auto"/>
                        <w:bottom w:val="none" w:sz="0" w:space="0" w:color="auto"/>
                        <w:right w:val="none" w:sz="0" w:space="0" w:color="auto"/>
                      </w:divBdr>
                    </w:div>
                    <w:div w:id="1722093310">
                      <w:marLeft w:val="1350"/>
                      <w:marRight w:val="0"/>
                      <w:marTop w:val="300"/>
                      <w:marBottom w:val="300"/>
                      <w:divBdr>
                        <w:top w:val="none" w:sz="0" w:space="0" w:color="auto"/>
                        <w:left w:val="none" w:sz="0" w:space="0" w:color="auto"/>
                        <w:bottom w:val="none" w:sz="0" w:space="0" w:color="auto"/>
                        <w:right w:val="none" w:sz="0" w:space="0" w:color="auto"/>
                      </w:divBdr>
                      <w:divsChild>
                        <w:div w:id="48771034">
                          <w:marLeft w:val="0"/>
                          <w:marRight w:val="0"/>
                          <w:marTop w:val="0"/>
                          <w:marBottom w:val="0"/>
                          <w:divBdr>
                            <w:top w:val="none" w:sz="0" w:space="0" w:color="auto"/>
                            <w:left w:val="none" w:sz="0" w:space="0" w:color="auto"/>
                            <w:bottom w:val="none" w:sz="0" w:space="0" w:color="auto"/>
                            <w:right w:val="none" w:sz="0" w:space="0" w:color="auto"/>
                          </w:divBdr>
                        </w:div>
                      </w:divsChild>
                    </w:div>
                    <w:div w:id="892732376">
                      <w:marLeft w:val="900"/>
                      <w:marRight w:val="0"/>
                      <w:marTop w:val="0"/>
                      <w:marBottom w:val="300"/>
                      <w:divBdr>
                        <w:top w:val="none" w:sz="0" w:space="0" w:color="auto"/>
                        <w:left w:val="none" w:sz="0" w:space="0" w:color="auto"/>
                        <w:bottom w:val="none" w:sz="0" w:space="0" w:color="auto"/>
                        <w:right w:val="none" w:sz="0" w:space="0" w:color="auto"/>
                      </w:divBdr>
                    </w:div>
                    <w:div w:id="969165819">
                      <w:marLeft w:val="1350"/>
                      <w:marRight w:val="0"/>
                      <w:marTop w:val="300"/>
                      <w:marBottom w:val="300"/>
                      <w:divBdr>
                        <w:top w:val="none" w:sz="0" w:space="0" w:color="auto"/>
                        <w:left w:val="none" w:sz="0" w:space="0" w:color="auto"/>
                        <w:bottom w:val="none" w:sz="0" w:space="0" w:color="auto"/>
                        <w:right w:val="none" w:sz="0" w:space="0" w:color="auto"/>
                      </w:divBdr>
                      <w:divsChild>
                        <w:div w:id="1907567640">
                          <w:marLeft w:val="0"/>
                          <w:marRight w:val="0"/>
                          <w:marTop w:val="0"/>
                          <w:marBottom w:val="0"/>
                          <w:divBdr>
                            <w:top w:val="none" w:sz="0" w:space="0" w:color="auto"/>
                            <w:left w:val="none" w:sz="0" w:space="0" w:color="auto"/>
                            <w:bottom w:val="none" w:sz="0" w:space="0" w:color="auto"/>
                            <w:right w:val="none" w:sz="0" w:space="0" w:color="auto"/>
                          </w:divBdr>
                        </w:div>
                      </w:divsChild>
                    </w:div>
                    <w:div w:id="1999309726">
                      <w:marLeft w:val="900"/>
                      <w:marRight w:val="0"/>
                      <w:marTop w:val="0"/>
                      <w:marBottom w:val="300"/>
                      <w:divBdr>
                        <w:top w:val="none" w:sz="0" w:space="0" w:color="auto"/>
                        <w:left w:val="none" w:sz="0" w:space="0" w:color="auto"/>
                        <w:bottom w:val="none" w:sz="0" w:space="0" w:color="auto"/>
                        <w:right w:val="none" w:sz="0" w:space="0" w:color="auto"/>
                      </w:divBdr>
                    </w:div>
                    <w:div w:id="1554343419">
                      <w:marLeft w:val="1350"/>
                      <w:marRight w:val="0"/>
                      <w:marTop w:val="300"/>
                      <w:marBottom w:val="300"/>
                      <w:divBdr>
                        <w:top w:val="none" w:sz="0" w:space="0" w:color="auto"/>
                        <w:left w:val="none" w:sz="0" w:space="0" w:color="auto"/>
                        <w:bottom w:val="none" w:sz="0" w:space="0" w:color="auto"/>
                        <w:right w:val="none" w:sz="0" w:space="0" w:color="auto"/>
                      </w:divBdr>
                      <w:divsChild>
                        <w:div w:id="650332184">
                          <w:marLeft w:val="0"/>
                          <w:marRight w:val="0"/>
                          <w:marTop w:val="0"/>
                          <w:marBottom w:val="0"/>
                          <w:divBdr>
                            <w:top w:val="none" w:sz="0" w:space="0" w:color="auto"/>
                            <w:left w:val="none" w:sz="0" w:space="0" w:color="auto"/>
                            <w:bottom w:val="none" w:sz="0" w:space="0" w:color="auto"/>
                            <w:right w:val="none" w:sz="0" w:space="0" w:color="auto"/>
                          </w:divBdr>
                        </w:div>
                      </w:divsChild>
                    </w:div>
                    <w:div w:id="1814252482">
                      <w:marLeft w:val="900"/>
                      <w:marRight w:val="0"/>
                      <w:marTop w:val="0"/>
                      <w:marBottom w:val="300"/>
                      <w:divBdr>
                        <w:top w:val="none" w:sz="0" w:space="0" w:color="auto"/>
                        <w:left w:val="none" w:sz="0" w:space="0" w:color="auto"/>
                        <w:bottom w:val="none" w:sz="0" w:space="0" w:color="auto"/>
                        <w:right w:val="none" w:sz="0" w:space="0" w:color="auto"/>
                      </w:divBdr>
                    </w:div>
                    <w:div w:id="218902163">
                      <w:marLeft w:val="1350"/>
                      <w:marRight w:val="0"/>
                      <w:marTop w:val="300"/>
                      <w:marBottom w:val="300"/>
                      <w:divBdr>
                        <w:top w:val="none" w:sz="0" w:space="0" w:color="auto"/>
                        <w:left w:val="none" w:sz="0" w:space="0" w:color="auto"/>
                        <w:bottom w:val="none" w:sz="0" w:space="0" w:color="auto"/>
                        <w:right w:val="none" w:sz="0" w:space="0" w:color="auto"/>
                      </w:divBdr>
                      <w:divsChild>
                        <w:div w:id="1993947644">
                          <w:marLeft w:val="0"/>
                          <w:marRight w:val="0"/>
                          <w:marTop w:val="0"/>
                          <w:marBottom w:val="0"/>
                          <w:divBdr>
                            <w:top w:val="none" w:sz="0" w:space="0" w:color="auto"/>
                            <w:left w:val="none" w:sz="0" w:space="0" w:color="auto"/>
                            <w:bottom w:val="none" w:sz="0" w:space="0" w:color="auto"/>
                            <w:right w:val="none" w:sz="0" w:space="0" w:color="auto"/>
                          </w:divBdr>
                        </w:div>
                      </w:divsChild>
                    </w:div>
                    <w:div w:id="1464500222">
                      <w:marLeft w:val="900"/>
                      <w:marRight w:val="0"/>
                      <w:marTop w:val="0"/>
                      <w:marBottom w:val="300"/>
                      <w:divBdr>
                        <w:top w:val="none" w:sz="0" w:space="0" w:color="auto"/>
                        <w:left w:val="none" w:sz="0" w:space="0" w:color="auto"/>
                        <w:bottom w:val="none" w:sz="0" w:space="0" w:color="auto"/>
                        <w:right w:val="none" w:sz="0" w:space="0" w:color="auto"/>
                      </w:divBdr>
                    </w:div>
                    <w:div w:id="392628912">
                      <w:marLeft w:val="1350"/>
                      <w:marRight w:val="0"/>
                      <w:marTop w:val="300"/>
                      <w:marBottom w:val="300"/>
                      <w:divBdr>
                        <w:top w:val="none" w:sz="0" w:space="0" w:color="auto"/>
                        <w:left w:val="none" w:sz="0" w:space="0" w:color="auto"/>
                        <w:bottom w:val="none" w:sz="0" w:space="0" w:color="auto"/>
                        <w:right w:val="none" w:sz="0" w:space="0" w:color="auto"/>
                      </w:divBdr>
                      <w:divsChild>
                        <w:div w:id="1901091820">
                          <w:marLeft w:val="0"/>
                          <w:marRight w:val="0"/>
                          <w:marTop w:val="0"/>
                          <w:marBottom w:val="0"/>
                          <w:divBdr>
                            <w:top w:val="none" w:sz="0" w:space="0" w:color="auto"/>
                            <w:left w:val="none" w:sz="0" w:space="0" w:color="auto"/>
                            <w:bottom w:val="none" w:sz="0" w:space="0" w:color="auto"/>
                            <w:right w:val="none" w:sz="0" w:space="0" w:color="auto"/>
                          </w:divBdr>
                        </w:div>
                      </w:divsChild>
                    </w:div>
                    <w:div w:id="106051639">
                      <w:marLeft w:val="900"/>
                      <w:marRight w:val="0"/>
                      <w:marTop w:val="0"/>
                      <w:marBottom w:val="300"/>
                      <w:divBdr>
                        <w:top w:val="none" w:sz="0" w:space="0" w:color="auto"/>
                        <w:left w:val="none" w:sz="0" w:space="0" w:color="auto"/>
                        <w:bottom w:val="none" w:sz="0" w:space="0" w:color="auto"/>
                        <w:right w:val="none" w:sz="0" w:space="0" w:color="auto"/>
                      </w:divBdr>
                    </w:div>
                    <w:div w:id="978146483">
                      <w:marLeft w:val="1350"/>
                      <w:marRight w:val="0"/>
                      <w:marTop w:val="300"/>
                      <w:marBottom w:val="300"/>
                      <w:divBdr>
                        <w:top w:val="none" w:sz="0" w:space="0" w:color="auto"/>
                        <w:left w:val="none" w:sz="0" w:space="0" w:color="auto"/>
                        <w:bottom w:val="none" w:sz="0" w:space="0" w:color="auto"/>
                        <w:right w:val="none" w:sz="0" w:space="0" w:color="auto"/>
                      </w:divBdr>
                      <w:divsChild>
                        <w:div w:id="585915974">
                          <w:marLeft w:val="0"/>
                          <w:marRight w:val="0"/>
                          <w:marTop w:val="0"/>
                          <w:marBottom w:val="0"/>
                          <w:divBdr>
                            <w:top w:val="none" w:sz="0" w:space="0" w:color="auto"/>
                            <w:left w:val="none" w:sz="0" w:space="0" w:color="auto"/>
                            <w:bottom w:val="none" w:sz="0" w:space="0" w:color="auto"/>
                            <w:right w:val="none" w:sz="0" w:space="0" w:color="auto"/>
                          </w:divBdr>
                        </w:div>
                      </w:divsChild>
                    </w:div>
                    <w:div w:id="2134400083">
                      <w:marLeft w:val="900"/>
                      <w:marRight w:val="0"/>
                      <w:marTop w:val="0"/>
                      <w:marBottom w:val="300"/>
                      <w:divBdr>
                        <w:top w:val="none" w:sz="0" w:space="0" w:color="auto"/>
                        <w:left w:val="none" w:sz="0" w:space="0" w:color="auto"/>
                        <w:bottom w:val="none" w:sz="0" w:space="0" w:color="auto"/>
                        <w:right w:val="none" w:sz="0" w:space="0" w:color="auto"/>
                      </w:divBdr>
                    </w:div>
                    <w:div w:id="2018116730">
                      <w:marLeft w:val="1350"/>
                      <w:marRight w:val="0"/>
                      <w:marTop w:val="300"/>
                      <w:marBottom w:val="300"/>
                      <w:divBdr>
                        <w:top w:val="none" w:sz="0" w:space="0" w:color="auto"/>
                        <w:left w:val="none" w:sz="0" w:space="0" w:color="auto"/>
                        <w:bottom w:val="none" w:sz="0" w:space="0" w:color="auto"/>
                        <w:right w:val="none" w:sz="0" w:space="0" w:color="auto"/>
                      </w:divBdr>
                      <w:divsChild>
                        <w:div w:id="1844316784">
                          <w:marLeft w:val="0"/>
                          <w:marRight w:val="0"/>
                          <w:marTop w:val="0"/>
                          <w:marBottom w:val="0"/>
                          <w:divBdr>
                            <w:top w:val="none" w:sz="0" w:space="0" w:color="auto"/>
                            <w:left w:val="none" w:sz="0" w:space="0" w:color="auto"/>
                            <w:bottom w:val="none" w:sz="0" w:space="0" w:color="auto"/>
                            <w:right w:val="none" w:sz="0" w:space="0" w:color="auto"/>
                          </w:divBdr>
                        </w:div>
                      </w:divsChild>
                    </w:div>
                    <w:div w:id="1196045652">
                      <w:marLeft w:val="900"/>
                      <w:marRight w:val="0"/>
                      <w:marTop w:val="0"/>
                      <w:marBottom w:val="300"/>
                      <w:divBdr>
                        <w:top w:val="none" w:sz="0" w:space="0" w:color="auto"/>
                        <w:left w:val="none" w:sz="0" w:space="0" w:color="auto"/>
                        <w:bottom w:val="none" w:sz="0" w:space="0" w:color="auto"/>
                        <w:right w:val="none" w:sz="0" w:space="0" w:color="auto"/>
                      </w:divBdr>
                    </w:div>
                    <w:div w:id="726759820">
                      <w:marLeft w:val="1350"/>
                      <w:marRight w:val="0"/>
                      <w:marTop w:val="300"/>
                      <w:marBottom w:val="300"/>
                      <w:divBdr>
                        <w:top w:val="none" w:sz="0" w:space="0" w:color="auto"/>
                        <w:left w:val="none" w:sz="0" w:space="0" w:color="auto"/>
                        <w:bottom w:val="none" w:sz="0" w:space="0" w:color="auto"/>
                        <w:right w:val="none" w:sz="0" w:space="0" w:color="auto"/>
                      </w:divBdr>
                      <w:divsChild>
                        <w:div w:id="1599217127">
                          <w:marLeft w:val="0"/>
                          <w:marRight w:val="0"/>
                          <w:marTop w:val="0"/>
                          <w:marBottom w:val="0"/>
                          <w:divBdr>
                            <w:top w:val="none" w:sz="0" w:space="0" w:color="auto"/>
                            <w:left w:val="none" w:sz="0" w:space="0" w:color="auto"/>
                            <w:bottom w:val="none" w:sz="0" w:space="0" w:color="auto"/>
                            <w:right w:val="none" w:sz="0" w:space="0" w:color="auto"/>
                          </w:divBdr>
                        </w:div>
                      </w:divsChild>
                    </w:div>
                    <w:div w:id="438375467">
                      <w:marLeft w:val="900"/>
                      <w:marRight w:val="0"/>
                      <w:marTop w:val="0"/>
                      <w:marBottom w:val="300"/>
                      <w:divBdr>
                        <w:top w:val="none" w:sz="0" w:space="0" w:color="auto"/>
                        <w:left w:val="none" w:sz="0" w:space="0" w:color="auto"/>
                        <w:bottom w:val="none" w:sz="0" w:space="0" w:color="auto"/>
                        <w:right w:val="none" w:sz="0" w:space="0" w:color="auto"/>
                      </w:divBdr>
                    </w:div>
                    <w:div w:id="1638143141">
                      <w:marLeft w:val="1350"/>
                      <w:marRight w:val="0"/>
                      <w:marTop w:val="300"/>
                      <w:marBottom w:val="300"/>
                      <w:divBdr>
                        <w:top w:val="none" w:sz="0" w:space="0" w:color="auto"/>
                        <w:left w:val="none" w:sz="0" w:space="0" w:color="auto"/>
                        <w:bottom w:val="none" w:sz="0" w:space="0" w:color="auto"/>
                        <w:right w:val="none" w:sz="0" w:space="0" w:color="auto"/>
                      </w:divBdr>
                      <w:divsChild>
                        <w:div w:id="1311443864">
                          <w:marLeft w:val="0"/>
                          <w:marRight w:val="0"/>
                          <w:marTop w:val="0"/>
                          <w:marBottom w:val="0"/>
                          <w:divBdr>
                            <w:top w:val="none" w:sz="0" w:space="0" w:color="auto"/>
                            <w:left w:val="none" w:sz="0" w:space="0" w:color="auto"/>
                            <w:bottom w:val="none" w:sz="0" w:space="0" w:color="auto"/>
                            <w:right w:val="none" w:sz="0" w:space="0" w:color="auto"/>
                          </w:divBdr>
                        </w:div>
                      </w:divsChild>
                    </w:div>
                    <w:div w:id="47996062">
                      <w:marLeft w:val="900"/>
                      <w:marRight w:val="0"/>
                      <w:marTop w:val="0"/>
                      <w:marBottom w:val="300"/>
                      <w:divBdr>
                        <w:top w:val="none" w:sz="0" w:space="0" w:color="auto"/>
                        <w:left w:val="none" w:sz="0" w:space="0" w:color="auto"/>
                        <w:bottom w:val="none" w:sz="0" w:space="0" w:color="auto"/>
                        <w:right w:val="none" w:sz="0" w:space="0" w:color="auto"/>
                      </w:divBdr>
                    </w:div>
                    <w:div w:id="139202359">
                      <w:marLeft w:val="1350"/>
                      <w:marRight w:val="0"/>
                      <w:marTop w:val="300"/>
                      <w:marBottom w:val="300"/>
                      <w:divBdr>
                        <w:top w:val="none" w:sz="0" w:space="0" w:color="auto"/>
                        <w:left w:val="none" w:sz="0" w:space="0" w:color="auto"/>
                        <w:bottom w:val="none" w:sz="0" w:space="0" w:color="auto"/>
                        <w:right w:val="none" w:sz="0" w:space="0" w:color="auto"/>
                      </w:divBdr>
                      <w:divsChild>
                        <w:div w:id="73416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803290">
      <w:bodyDiv w:val="1"/>
      <w:marLeft w:val="0"/>
      <w:marRight w:val="0"/>
      <w:marTop w:val="0"/>
      <w:marBottom w:val="0"/>
      <w:divBdr>
        <w:top w:val="none" w:sz="0" w:space="0" w:color="auto"/>
        <w:left w:val="none" w:sz="0" w:space="0" w:color="auto"/>
        <w:bottom w:val="none" w:sz="0" w:space="0" w:color="auto"/>
        <w:right w:val="none" w:sz="0" w:space="0" w:color="auto"/>
      </w:divBdr>
      <w:divsChild>
        <w:div w:id="1625306667">
          <w:marLeft w:val="0"/>
          <w:marRight w:val="0"/>
          <w:marTop w:val="0"/>
          <w:marBottom w:val="0"/>
          <w:divBdr>
            <w:top w:val="none" w:sz="0" w:space="0" w:color="auto"/>
            <w:left w:val="none" w:sz="0" w:space="0" w:color="auto"/>
            <w:bottom w:val="none" w:sz="0" w:space="0" w:color="auto"/>
            <w:right w:val="none" w:sz="0" w:space="0" w:color="auto"/>
          </w:divBdr>
          <w:divsChild>
            <w:div w:id="357237476">
              <w:marLeft w:val="0"/>
              <w:marRight w:val="0"/>
              <w:marTop w:val="0"/>
              <w:marBottom w:val="0"/>
              <w:divBdr>
                <w:top w:val="none" w:sz="0" w:space="0" w:color="auto"/>
                <w:left w:val="none" w:sz="0" w:space="0" w:color="auto"/>
                <w:bottom w:val="none" w:sz="0" w:space="0" w:color="auto"/>
                <w:right w:val="none" w:sz="0" w:space="0" w:color="auto"/>
              </w:divBdr>
              <w:divsChild>
                <w:div w:id="2105422267">
                  <w:marLeft w:val="0"/>
                  <w:marRight w:val="0"/>
                  <w:marTop w:val="450"/>
                  <w:marBottom w:val="300"/>
                  <w:divBdr>
                    <w:top w:val="none" w:sz="0" w:space="0" w:color="auto"/>
                    <w:left w:val="none" w:sz="0" w:space="0" w:color="auto"/>
                    <w:bottom w:val="none" w:sz="0" w:space="0" w:color="auto"/>
                    <w:right w:val="none" w:sz="0" w:space="0" w:color="auto"/>
                  </w:divBdr>
                </w:div>
                <w:div w:id="1900894779">
                  <w:marLeft w:val="0"/>
                  <w:marRight w:val="0"/>
                  <w:marTop w:val="0"/>
                  <w:marBottom w:val="450"/>
                  <w:divBdr>
                    <w:top w:val="none" w:sz="0" w:space="0" w:color="auto"/>
                    <w:left w:val="none" w:sz="0" w:space="0" w:color="auto"/>
                    <w:bottom w:val="none" w:sz="0" w:space="0" w:color="auto"/>
                    <w:right w:val="none" w:sz="0" w:space="0" w:color="auto"/>
                  </w:divBdr>
                </w:div>
                <w:div w:id="891307809">
                  <w:marLeft w:val="525"/>
                  <w:marRight w:val="0"/>
                  <w:marTop w:val="300"/>
                  <w:marBottom w:val="300"/>
                  <w:divBdr>
                    <w:top w:val="none" w:sz="0" w:space="0" w:color="auto"/>
                    <w:left w:val="none" w:sz="0" w:space="0" w:color="auto"/>
                    <w:bottom w:val="none" w:sz="0" w:space="0" w:color="auto"/>
                    <w:right w:val="none" w:sz="0" w:space="0" w:color="auto"/>
                  </w:divBdr>
                </w:div>
                <w:div w:id="1449813408">
                  <w:marLeft w:val="525"/>
                  <w:marRight w:val="0"/>
                  <w:marTop w:val="300"/>
                  <w:marBottom w:val="300"/>
                  <w:divBdr>
                    <w:top w:val="none" w:sz="0" w:space="0" w:color="auto"/>
                    <w:left w:val="none" w:sz="0" w:space="0" w:color="auto"/>
                    <w:bottom w:val="none" w:sz="0" w:space="0" w:color="auto"/>
                    <w:right w:val="none" w:sz="0" w:space="0" w:color="auto"/>
                  </w:divBdr>
                </w:div>
                <w:div w:id="903610886">
                  <w:marLeft w:val="0"/>
                  <w:marRight w:val="0"/>
                  <w:marTop w:val="0"/>
                  <w:marBottom w:val="0"/>
                  <w:divBdr>
                    <w:top w:val="none" w:sz="0" w:space="0" w:color="auto"/>
                    <w:left w:val="none" w:sz="0" w:space="0" w:color="auto"/>
                    <w:bottom w:val="none" w:sz="0" w:space="0" w:color="auto"/>
                    <w:right w:val="none" w:sz="0" w:space="0" w:color="auto"/>
                  </w:divBdr>
                  <w:divsChild>
                    <w:div w:id="1167211997">
                      <w:marLeft w:val="900"/>
                      <w:marRight w:val="0"/>
                      <w:marTop w:val="0"/>
                      <w:marBottom w:val="300"/>
                      <w:divBdr>
                        <w:top w:val="none" w:sz="0" w:space="0" w:color="auto"/>
                        <w:left w:val="none" w:sz="0" w:space="0" w:color="auto"/>
                        <w:bottom w:val="none" w:sz="0" w:space="0" w:color="auto"/>
                        <w:right w:val="none" w:sz="0" w:space="0" w:color="auto"/>
                      </w:divBdr>
                    </w:div>
                    <w:div w:id="1519855660">
                      <w:marLeft w:val="1350"/>
                      <w:marRight w:val="0"/>
                      <w:marTop w:val="300"/>
                      <w:marBottom w:val="300"/>
                      <w:divBdr>
                        <w:top w:val="none" w:sz="0" w:space="0" w:color="auto"/>
                        <w:left w:val="none" w:sz="0" w:space="0" w:color="auto"/>
                        <w:bottom w:val="none" w:sz="0" w:space="0" w:color="auto"/>
                        <w:right w:val="none" w:sz="0" w:space="0" w:color="auto"/>
                      </w:divBdr>
                      <w:divsChild>
                        <w:div w:id="1616137484">
                          <w:marLeft w:val="0"/>
                          <w:marRight w:val="0"/>
                          <w:marTop w:val="0"/>
                          <w:marBottom w:val="0"/>
                          <w:divBdr>
                            <w:top w:val="none" w:sz="0" w:space="0" w:color="auto"/>
                            <w:left w:val="none" w:sz="0" w:space="0" w:color="auto"/>
                            <w:bottom w:val="none" w:sz="0" w:space="0" w:color="auto"/>
                            <w:right w:val="none" w:sz="0" w:space="0" w:color="auto"/>
                          </w:divBdr>
                        </w:div>
                      </w:divsChild>
                    </w:div>
                    <w:div w:id="1134836609">
                      <w:marLeft w:val="900"/>
                      <w:marRight w:val="0"/>
                      <w:marTop w:val="0"/>
                      <w:marBottom w:val="300"/>
                      <w:divBdr>
                        <w:top w:val="none" w:sz="0" w:space="0" w:color="auto"/>
                        <w:left w:val="none" w:sz="0" w:space="0" w:color="auto"/>
                        <w:bottom w:val="none" w:sz="0" w:space="0" w:color="auto"/>
                        <w:right w:val="none" w:sz="0" w:space="0" w:color="auto"/>
                      </w:divBdr>
                    </w:div>
                    <w:div w:id="1371802515">
                      <w:marLeft w:val="1350"/>
                      <w:marRight w:val="0"/>
                      <w:marTop w:val="300"/>
                      <w:marBottom w:val="300"/>
                      <w:divBdr>
                        <w:top w:val="none" w:sz="0" w:space="0" w:color="auto"/>
                        <w:left w:val="none" w:sz="0" w:space="0" w:color="auto"/>
                        <w:bottom w:val="none" w:sz="0" w:space="0" w:color="auto"/>
                        <w:right w:val="none" w:sz="0" w:space="0" w:color="auto"/>
                      </w:divBdr>
                      <w:divsChild>
                        <w:div w:id="1638222115">
                          <w:marLeft w:val="0"/>
                          <w:marRight w:val="0"/>
                          <w:marTop w:val="0"/>
                          <w:marBottom w:val="0"/>
                          <w:divBdr>
                            <w:top w:val="none" w:sz="0" w:space="0" w:color="auto"/>
                            <w:left w:val="none" w:sz="0" w:space="0" w:color="auto"/>
                            <w:bottom w:val="none" w:sz="0" w:space="0" w:color="auto"/>
                            <w:right w:val="none" w:sz="0" w:space="0" w:color="auto"/>
                          </w:divBdr>
                        </w:div>
                      </w:divsChild>
                    </w:div>
                    <w:div w:id="459036724">
                      <w:marLeft w:val="900"/>
                      <w:marRight w:val="0"/>
                      <w:marTop w:val="0"/>
                      <w:marBottom w:val="300"/>
                      <w:divBdr>
                        <w:top w:val="none" w:sz="0" w:space="0" w:color="auto"/>
                        <w:left w:val="none" w:sz="0" w:space="0" w:color="auto"/>
                        <w:bottom w:val="none" w:sz="0" w:space="0" w:color="auto"/>
                        <w:right w:val="none" w:sz="0" w:space="0" w:color="auto"/>
                      </w:divBdr>
                    </w:div>
                    <w:div w:id="1834952419">
                      <w:marLeft w:val="1350"/>
                      <w:marRight w:val="0"/>
                      <w:marTop w:val="300"/>
                      <w:marBottom w:val="300"/>
                      <w:divBdr>
                        <w:top w:val="none" w:sz="0" w:space="0" w:color="auto"/>
                        <w:left w:val="none" w:sz="0" w:space="0" w:color="auto"/>
                        <w:bottom w:val="none" w:sz="0" w:space="0" w:color="auto"/>
                        <w:right w:val="none" w:sz="0" w:space="0" w:color="auto"/>
                      </w:divBdr>
                      <w:divsChild>
                        <w:div w:id="1584412432">
                          <w:marLeft w:val="0"/>
                          <w:marRight w:val="0"/>
                          <w:marTop w:val="0"/>
                          <w:marBottom w:val="0"/>
                          <w:divBdr>
                            <w:top w:val="none" w:sz="0" w:space="0" w:color="auto"/>
                            <w:left w:val="none" w:sz="0" w:space="0" w:color="auto"/>
                            <w:bottom w:val="none" w:sz="0" w:space="0" w:color="auto"/>
                            <w:right w:val="none" w:sz="0" w:space="0" w:color="auto"/>
                          </w:divBdr>
                        </w:div>
                      </w:divsChild>
                    </w:div>
                    <w:div w:id="1587229851">
                      <w:marLeft w:val="900"/>
                      <w:marRight w:val="0"/>
                      <w:marTop w:val="0"/>
                      <w:marBottom w:val="300"/>
                      <w:divBdr>
                        <w:top w:val="none" w:sz="0" w:space="0" w:color="auto"/>
                        <w:left w:val="none" w:sz="0" w:space="0" w:color="auto"/>
                        <w:bottom w:val="none" w:sz="0" w:space="0" w:color="auto"/>
                        <w:right w:val="none" w:sz="0" w:space="0" w:color="auto"/>
                      </w:divBdr>
                    </w:div>
                    <w:div w:id="522330379">
                      <w:marLeft w:val="1350"/>
                      <w:marRight w:val="0"/>
                      <w:marTop w:val="300"/>
                      <w:marBottom w:val="300"/>
                      <w:divBdr>
                        <w:top w:val="none" w:sz="0" w:space="0" w:color="auto"/>
                        <w:left w:val="none" w:sz="0" w:space="0" w:color="auto"/>
                        <w:bottom w:val="none" w:sz="0" w:space="0" w:color="auto"/>
                        <w:right w:val="none" w:sz="0" w:space="0" w:color="auto"/>
                      </w:divBdr>
                      <w:divsChild>
                        <w:div w:id="744453269">
                          <w:marLeft w:val="0"/>
                          <w:marRight w:val="0"/>
                          <w:marTop w:val="0"/>
                          <w:marBottom w:val="0"/>
                          <w:divBdr>
                            <w:top w:val="none" w:sz="0" w:space="0" w:color="auto"/>
                            <w:left w:val="none" w:sz="0" w:space="0" w:color="auto"/>
                            <w:bottom w:val="none" w:sz="0" w:space="0" w:color="auto"/>
                            <w:right w:val="none" w:sz="0" w:space="0" w:color="auto"/>
                          </w:divBdr>
                        </w:div>
                      </w:divsChild>
                    </w:div>
                    <w:div w:id="1136872720">
                      <w:marLeft w:val="900"/>
                      <w:marRight w:val="0"/>
                      <w:marTop w:val="0"/>
                      <w:marBottom w:val="300"/>
                      <w:divBdr>
                        <w:top w:val="none" w:sz="0" w:space="0" w:color="auto"/>
                        <w:left w:val="none" w:sz="0" w:space="0" w:color="auto"/>
                        <w:bottom w:val="none" w:sz="0" w:space="0" w:color="auto"/>
                        <w:right w:val="none" w:sz="0" w:space="0" w:color="auto"/>
                      </w:divBdr>
                    </w:div>
                    <w:div w:id="1567833089">
                      <w:marLeft w:val="1350"/>
                      <w:marRight w:val="0"/>
                      <w:marTop w:val="300"/>
                      <w:marBottom w:val="300"/>
                      <w:divBdr>
                        <w:top w:val="none" w:sz="0" w:space="0" w:color="auto"/>
                        <w:left w:val="none" w:sz="0" w:space="0" w:color="auto"/>
                        <w:bottom w:val="none" w:sz="0" w:space="0" w:color="auto"/>
                        <w:right w:val="none" w:sz="0" w:space="0" w:color="auto"/>
                      </w:divBdr>
                      <w:divsChild>
                        <w:div w:id="2089038237">
                          <w:marLeft w:val="0"/>
                          <w:marRight w:val="0"/>
                          <w:marTop w:val="0"/>
                          <w:marBottom w:val="0"/>
                          <w:divBdr>
                            <w:top w:val="none" w:sz="0" w:space="0" w:color="auto"/>
                            <w:left w:val="none" w:sz="0" w:space="0" w:color="auto"/>
                            <w:bottom w:val="none" w:sz="0" w:space="0" w:color="auto"/>
                            <w:right w:val="none" w:sz="0" w:space="0" w:color="auto"/>
                          </w:divBdr>
                        </w:div>
                      </w:divsChild>
                    </w:div>
                    <w:div w:id="41026182">
                      <w:marLeft w:val="900"/>
                      <w:marRight w:val="0"/>
                      <w:marTop w:val="0"/>
                      <w:marBottom w:val="300"/>
                      <w:divBdr>
                        <w:top w:val="none" w:sz="0" w:space="0" w:color="auto"/>
                        <w:left w:val="none" w:sz="0" w:space="0" w:color="auto"/>
                        <w:bottom w:val="none" w:sz="0" w:space="0" w:color="auto"/>
                        <w:right w:val="none" w:sz="0" w:space="0" w:color="auto"/>
                      </w:divBdr>
                    </w:div>
                    <w:div w:id="349187245">
                      <w:marLeft w:val="1350"/>
                      <w:marRight w:val="0"/>
                      <w:marTop w:val="300"/>
                      <w:marBottom w:val="300"/>
                      <w:divBdr>
                        <w:top w:val="none" w:sz="0" w:space="0" w:color="auto"/>
                        <w:left w:val="none" w:sz="0" w:space="0" w:color="auto"/>
                        <w:bottom w:val="none" w:sz="0" w:space="0" w:color="auto"/>
                        <w:right w:val="none" w:sz="0" w:space="0" w:color="auto"/>
                      </w:divBdr>
                      <w:divsChild>
                        <w:div w:id="1371804617">
                          <w:marLeft w:val="0"/>
                          <w:marRight w:val="0"/>
                          <w:marTop w:val="0"/>
                          <w:marBottom w:val="0"/>
                          <w:divBdr>
                            <w:top w:val="none" w:sz="0" w:space="0" w:color="auto"/>
                            <w:left w:val="none" w:sz="0" w:space="0" w:color="auto"/>
                            <w:bottom w:val="none" w:sz="0" w:space="0" w:color="auto"/>
                            <w:right w:val="none" w:sz="0" w:space="0" w:color="auto"/>
                          </w:divBdr>
                        </w:div>
                      </w:divsChild>
                    </w:div>
                    <w:div w:id="2134715094">
                      <w:marLeft w:val="900"/>
                      <w:marRight w:val="0"/>
                      <w:marTop w:val="0"/>
                      <w:marBottom w:val="300"/>
                      <w:divBdr>
                        <w:top w:val="none" w:sz="0" w:space="0" w:color="auto"/>
                        <w:left w:val="none" w:sz="0" w:space="0" w:color="auto"/>
                        <w:bottom w:val="none" w:sz="0" w:space="0" w:color="auto"/>
                        <w:right w:val="none" w:sz="0" w:space="0" w:color="auto"/>
                      </w:divBdr>
                    </w:div>
                    <w:div w:id="1383749759">
                      <w:marLeft w:val="1350"/>
                      <w:marRight w:val="0"/>
                      <w:marTop w:val="300"/>
                      <w:marBottom w:val="300"/>
                      <w:divBdr>
                        <w:top w:val="none" w:sz="0" w:space="0" w:color="auto"/>
                        <w:left w:val="none" w:sz="0" w:space="0" w:color="auto"/>
                        <w:bottom w:val="none" w:sz="0" w:space="0" w:color="auto"/>
                        <w:right w:val="none" w:sz="0" w:space="0" w:color="auto"/>
                      </w:divBdr>
                      <w:divsChild>
                        <w:div w:id="1751123717">
                          <w:marLeft w:val="0"/>
                          <w:marRight w:val="0"/>
                          <w:marTop w:val="0"/>
                          <w:marBottom w:val="0"/>
                          <w:divBdr>
                            <w:top w:val="none" w:sz="0" w:space="0" w:color="auto"/>
                            <w:left w:val="none" w:sz="0" w:space="0" w:color="auto"/>
                            <w:bottom w:val="none" w:sz="0" w:space="0" w:color="auto"/>
                            <w:right w:val="none" w:sz="0" w:space="0" w:color="auto"/>
                          </w:divBdr>
                        </w:div>
                      </w:divsChild>
                    </w:div>
                    <w:div w:id="625620952">
                      <w:marLeft w:val="900"/>
                      <w:marRight w:val="0"/>
                      <w:marTop w:val="0"/>
                      <w:marBottom w:val="300"/>
                      <w:divBdr>
                        <w:top w:val="none" w:sz="0" w:space="0" w:color="auto"/>
                        <w:left w:val="none" w:sz="0" w:space="0" w:color="auto"/>
                        <w:bottom w:val="none" w:sz="0" w:space="0" w:color="auto"/>
                        <w:right w:val="none" w:sz="0" w:space="0" w:color="auto"/>
                      </w:divBdr>
                    </w:div>
                    <w:div w:id="1459300703">
                      <w:marLeft w:val="1350"/>
                      <w:marRight w:val="0"/>
                      <w:marTop w:val="300"/>
                      <w:marBottom w:val="300"/>
                      <w:divBdr>
                        <w:top w:val="none" w:sz="0" w:space="0" w:color="auto"/>
                        <w:left w:val="none" w:sz="0" w:space="0" w:color="auto"/>
                        <w:bottom w:val="none" w:sz="0" w:space="0" w:color="auto"/>
                        <w:right w:val="none" w:sz="0" w:space="0" w:color="auto"/>
                      </w:divBdr>
                      <w:divsChild>
                        <w:div w:id="1792817215">
                          <w:marLeft w:val="0"/>
                          <w:marRight w:val="0"/>
                          <w:marTop w:val="0"/>
                          <w:marBottom w:val="0"/>
                          <w:divBdr>
                            <w:top w:val="none" w:sz="0" w:space="0" w:color="auto"/>
                            <w:left w:val="none" w:sz="0" w:space="0" w:color="auto"/>
                            <w:bottom w:val="none" w:sz="0" w:space="0" w:color="auto"/>
                            <w:right w:val="none" w:sz="0" w:space="0" w:color="auto"/>
                          </w:divBdr>
                        </w:div>
                      </w:divsChild>
                    </w:div>
                    <w:div w:id="654770356">
                      <w:marLeft w:val="900"/>
                      <w:marRight w:val="0"/>
                      <w:marTop w:val="0"/>
                      <w:marBottom w:val="300"/>
                      <w:divBdr>
                        <w:top w:val="none" w:sz="0" w:space="0" w:color="auto"/>
                        <w:left w:val="none" w:sz="0" w:space="0" w:color="auto"/>
                        <w:bottom w:val="none" w:sz="0" w:space="0" w:color="auto"/>
                        <w:right w:val="none" w:sz="0" w:space="0" w:color="auto"/>
                      </w:divBdr>
                    </w:div>
                    <w:div w:id="838076744">
                      <w:marLeft w:val="1350"/>
                      <w:marRight w:val="0"/>
                      <w:marTop w:val="300"/>
                      <w:marBottom w:val="300"/>
                      <w:divBdr>
                        <w:top w:val="none" w:sz="0" w:space="0" w:color="auto"/>
                        <w:left w:val="none" w:sz="0" w:space="0" w:color="auto"/>
                        <w:bottom w:val="none" w:sz="0" w:space="0" w:color="auto"/>
                        <w:right w:val="none" w:sz="0" w:space="0" w:color="auto"/>
                      </w:divBdr>
                      <w:divsChild>
                        <w:div w:id="150221959">
                          <w:marLeft w:val="0"/>
                          <w:marRight w:val="0"/>
                          <w:marTop w:val="0"/>
                          <w:marBottom w:val="0"/>
                          <w:divBdr>
                            <w:top w:val="none" w:sz="0" w:space="0" w:color="auto"/>
                            <w:left w:val="none" w:sz="0" w:space="0" w:color="auto"/>
                            <w:bottom w:val="none" w:sz="0" w:space="0" w:color="auto"/>
                            <w:right w:val="none" w:sz="0" w:space="0" w:color="auto"/>
                          </w:divBdr>
                        </w:div>
                      </w:divsChild>
                    </w:div>
                    <w:div w:id="324087845">
                      <w:marLeft w:val="900"/>
                      <w:marRight w:val="0"/>
                      <w:marTop w:val="0"/>
                      <w:marBottom w:val="300"/>
                      <w:divBdr>
                        <w:top w:val="none" w:sz="0" w:space="0" w:color="auto"/>
                        <w:left w:val="none" w:sz="0" w:space="0" w:color="auto"/>
                        <w:bottom w:val="none" w:sz="0" w:space="0" w:color="auto"/>
                        <w:right w:val="none" w:sz="0" w:space="0" w:color="auto"/>
                      </w:divBdr>
                    </w:div>
                    <w:div w:id="661083777">
                      <w:marLeft w:val="1350"/>
                      <w:marRight w:val="0"/>
                      <w:marTop w:val="300"/>
                      <w:marBottom w:val="300"/>
                      <w:divBdr>
                        <w:top w:val="none" w:sz="0" w:space="0" w:color="auto"/>
                        <w:left w:val="none" w:sz="0" w:space="0" w:color="auto"/>
                        <w:bottom w:val="none" w:sz="0" w:space="0" w:color="auto"/>
                        <w:right w:val="none" w:sz="0" w:space="0" w:color="auto"/>
                      </w:divBdr>
                      <w:divsChild>
                        <w:div w:id="5562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358146">
                  <w:marLeft w:val="525"/>
                  <w:marRight w:val="0"/>
                  <w:marTop w:val="300"/>
                  <w:marBottom w:val="300"/>
                  <w:divBdr>
                    <w:top w:val="none" w:sz="0" w:space="0" w:color="auto"/>
                    <w:left w:val="none" w:sz="0" w:space="0" w:color="auto"/>
                    <w:bottom w:val="none" w:sz="0" w:space="0" w:color="auto"/>
                    <w:right w:val="none" w:sz="0" w:space="0" w:color="auto"/>
                  </w:divBdr>
                </w:div>
                <w:div w:id="1655841218">
                  <w:marLeft w:val="0"/>
                  <w:marRight w:val="0"/>
                  <w:marTop w:val="0"/>
                  <w:marBottom w:val="0"/>
                  <w:divBdr>
                    <w:top w:val="none" w:sz="0" w:space="0" w:color="auto"/>
                    <w:left w:val="none" w:sz="0" w:space="0" w:color="auto"/>
                    <w:bottom w:val="none" w:sz="0" w:space="0" w:color="auto"/>
                    <w:right w:val="none" w:sz="0" w:space="0" w:color="auto"/>
                  </w:divBdr>
                  <w:divsChild>
                    <w:div w:id="1329480891">
                      <w:marLeft w:val="900"/>
                      <w:marRight w:val="0"/>
                      <w:marTop w:val="0"/>
                      <w:marBottom w:val="300"/>
                      <w:divBdr>
                        <w:top w:val="none" w:sz="0" w:space="0" w:color="auto"/>
                        <w:left w:val="none" w:sz="0" w:space="0" w:color="auto"/>
                        <w:bottom w:val="none" w:sz="0" w:space="0" w:color="auto"/>
                        <w:right w:val="none" w:sz="0" w:space="0" w:color="auto"/>
                      </w:divBdr>
                    </w:div>
                    <w:div w:id="1001468393">
                      <w:marLeft w:val="1350"/>
                      <w:marRight w:val="0"/>
                      <w:marTop w:val="300"/>
                      <w:marBottom w:val="300"/>
                      <w:divBdr>
                        <w:top w:val="none" w:sz="0" w:space="0" w:color="auto"/>
                        <w:left w:val="none" w:sz="0" w:space="0" w:color="auto"/>
                        <w:bottom w:val="none" w:sz="0" w:space="0" w:color="auto"/>
                        <w:right w:val="none" w:sz="0" w:space="0" w:color="auto"/>
                      </w:divBdr>
                      <w:divsChild>
                        <w:div w:id="1261528997">
                          <w:marLeft w:val="0"/>
                          <w:marRight w:val="0"/>
                          <w:marTop w:val="0"/>
                          <w:marBottom w:val="0"/>
                          <w:divBdr>
                            <w:top w:val="none" w:sz="0" w:space="0" w:color="auto"/>
                            <w:left w:val="none" w:sz="0" w:space="0" w:color="auto"/>
                            <w:bottom w:val="none" w:sz="0" w:space="0" w:color="auto"/>
                            <w:right w:val="none" w:sz="0" w:space="0" w:color="auto"/>
                          </w:divBdr>
                        </w:div>
                      </w:divsChild>
                    </w:div>
                    <w:div w:id="1257908964">
                      <w:marLeft w:val="900"/>
                      <w:marRight w:val="0"/>
                      <w:marTop w:val="0"/>
                      <w:marBottom w:val="300"/>
                      <w:divBdr>
                        <w:top w:val="none" w:sz="0" w:space="0" w:color="auto"/>
                        <w:left w:val="none" w:sz="0" w:space="0" w:color="auto"/>
                        <w:bottom w:val="none" w:sz="0" w:space="0" w:color="auto"/>
                        <w:right w:val="none" w:sz="0" w:space="0" w:color="auto"/>
                      </w:divBdr>
                    </w:div>
                    <w:div w:id="694968157">
                      <w:marLeft w:val="1350"/>
                      <w:marRight w:val="0"/>
                      <w:marTop w:val="300"/>
                      <w:marBottom w:val="300"/>
                      <w:divBdr>
                        <w:top w:val="none" w:sz="0" w:space="0" w:color="auto"/>
                        <w:left w:val="none" w:sz="0" w:space="0" w:color="auto"/>
                        <w:bottom w:val="none" w:sz="0" w:space="0" w:color="auto"/>
                        <w:right w:val="none" w:sz="0" w:space="0" w:color="auto"/>
                      </w:divBdr>
                      <w:divsChild>
                        <w:div w:id="22291012">
                          <w:marLeft w:val="0"/>
                          <w:marRight w:val="0"/>
                          <w:marTop w:val="0"/>
                          <w:marBottom w:val="0"/>
                          <w:divBdr>
                            <w:top w:val="none" w:sz="0" w:space="0" w:color="auto"/>
                            <w:left w:val="none" w:sz="0" w:space="0" w:color="auto"/>
                            <w:bottom w:val="none" w:sz="0" w:space="0" w:color="auto"/>
                            <w:right w:val="none" w:sz="0" w:space="0" w:color="auto"/>
                          </w:divBdr>
                        </w:div>
                      </w:divsChild>
                    </w:div>
                    <w:div w:id="496070331">
                      <w:marLeft w:val="900"/>
                      <w:marRight w:val="0"/>
                      <w:marTop w:val="0"/>
                      <w:marBottom w:val="300"/>
                      <w:divBdr>
                        <w:top w:val="none" w:sz="0" w:space="0" w:color="auto"/>
                        <w:left w:val="none" w:sz="0" w:space="0" w:color="auto"/>
                        <w:bottom w:val="none" w:sz="0" w:space="0" w:color="auto"/>
                        <w:right w:val="none" w:sz="0" w:space="0" w:color="auto"/>
                      </w:divBdr>
                    </w:div>
                    <w:div w:id="144472993">
                      <w:marLeft w:val="1350"/>
                      <w:marRight w:val="0"/>
                      <w:marTop w:val="300"/>
                      <w:marBottom w:val="300"/>
                      <w:divBdr>
                        <w:top w:val="none" w:sz="0" w:space="0" w:color="auto"/>
                        <w:left w:val="none" w:sz="0" w:space="0" w:color="auto"/>
                        <w:bottom w:val="none" w:sz="0" w:space="0" w:color="auto"/>
                        <w:right w:val="none" w:sz="0" w:space="0" w:color="auto"/>
                      </w:divBdr>
                      <w:divsChild>
                        <w:div w:id="866332108">
                          <w:marLeft w:val="0"/>
                          <w:marRight w:val="0"/>
                          <w:marTop w:val="0"/>
                          <w:marBottom w:val="0"/>
                          <w:divBdr>
                            <w:top w:val="none" w:sz="0" w:space="0" w:color="auto"/>
                            <w:left w:val="none" w:sz="0" w:space="0" w:color="auto"/>
                            <w:bottom w:val="none" w:sz="0" w:space="0" w:color="auto"/>
                            <w:right w:val="none" w:sz="0" w:space="0" w:color="auto"/>
                          </w:divBdr>
                        </w:div>
                      </w:divsChild>
                    </w:div>
                    <w:div w:id="2085518510">
                      <w:marLeft w:val="900"/>
                      <w:marRight w:val="0"/>
                      <w:marTop w:val="0"/>
                      <w:marBottom w:val="300"/>
                      <w:divBdr>
                        <w:top w:val="none" w:sz="0" w:space="0" w:color="auto"/>
                        <w:left w:val="none" w:sz="0" w:space="0" w:color="auto"/>
                        <w:bottom w:val="none" w:sz="0" w:space="0" w:color="auto"/>
                        <w:right w:val="none" w:sz="0" w:space="0" w:color="auto"/>
                      </w:divBdr>
                    </w:div>
                    <w:div w:id="2042588570">
                      <w:marLeft w:val="1350"/>
                      <w:marRight w:val="0"/>
                      <w:marTop w:val="300"/>
                      <w:marBottom w:val="300"/>
                      <w:divBdr>
                        <w:top w:val="none" w:sz="0" w:space="0" w:color="auto"/>
                        <w:left w:val="none" w:sz="0" w:space="0" w:color="auto"/>
                        <w:bottom w:val="none" w:sz="0" w:space="0" w:color="auto"/>
                        <w:right w:val="none" w:sz="0" w:space="0" w:color="auto"/>
                      </w:divBdr>
                      <w:divsChild>
                        <w:div w:id="966736249">
                          <w:marLeft w:val="0"/>
                          <w:marRight w:val="0"/>
                          <w:marTop w:val="0"/>
                          <w:marBottom w:val="0"/>
                          <w:divBdr>
                            <w:top w:val="none" w:sz="0" w:space="0" w:color="auto"/>
                            <w:left w:val="none" w:sz="0" w:space="0" w:color="auto"/>
                            <w:bottom w:val="none" w:sz="0" w:space="0" w:color="auto"/>
                            <w:right w:val="none" w:sz="0" w:space="0" w:color="auto"/>
                          </w:divBdr>
                        </w:div>
                      </w:divsChild>
                    </w:div>
                    <w:div w:id="1365061515">
                      <w:marLeft w:val="900"/>
                      <w:marRight w:val="0"/>
                      <w:marTop w:val="0"/>
                      <w:marBottom w:val="300"/>
                      <w:divBdr>
                        <w:top w:val="none" w:sz="0" w:space="0" w:color="auto"/>
                        <w:left w:val="none" w:sz="0" w:space="0" w:color="auto"/>
                        <w:bottom w:val="none" w:sz="0" w:space="0" w:color="auto"/>
                        <w:right w:val="none" w:sz="0" w:space="0" w:color="auto"/>
                      </w:divBdr>
                    </w:div>
                    <w:div w:id="635375883">
                      <w:marLeft w:val="1350"/>
                      <w:marRight w:val="0"/>
                      <w:marTop w:val="300"/>
                      <w:marBottom w:val="300"/>
                      <w:divBdr>
                        <w:top w:val="none" w:sz="0" w:space="0" w:color="auto"/>
                        <w:left w:val="none" w:sz="0" w:space="0" w:color="auto"/>
                        <w:bottom w:val="none" w:sz="0" w:space="0" w:color="auto"/>
                        <w:right w:val="none" w:sz="0" w:space="0" w:color="auto"/>
                      </w:divBdr>
                      <w:divsChild>
                        <w:div w:id="1816986945">
                          <w:marLeft w:val="0"/>
                          <w:marRight w:val="0"/>
                          <w:marTop w:val="0"/>
                          <w:marBottom w:val="0"/>
                          <w:divBdr>
                            <w:top w:val="none" w:sz="0" w:space="0" w:color="auto"/>
                            <w:left w:val="none" w:sz="0" w:space="0" w:color="auto"/>
                            <w:bottom w:val="none" w:sz="0" w:space="0" w:color="auto"/>
                            <w:right w:val="none" w:sz="0" w:space="0" w:color="auto"/>
                          </w:divBdr>
                        </w:div>
                      </w:divsChild>
                    </w:div>
                    <w:div w:id="1450776064">
                      <w:marLeft w:val="900"/>
                      <w:marRight w:val="0"/>
                      <w:marTop w:val="0"/>
                      <w:marBottom w:val="300"/>
                      <w:divBdr>
                        <w:top w:val="none" w:sz="0" w:space="0" w:color="auto"/>
                        <w:left w:val="none" w:sz="0" w:space="0" w:color="auto"/>
                        <w:bottom w:val="none" w:sz="0" w:space="0" w:color="auto"/>
                        <w:right w:val="none" w:sz="0" w:space="0" w:color="auto"/>
                      </w:divBdr>
                    </w:div>
                    <w:div w:id="1604606714">
                      <w:marLeft w:val="1350"/>
                      <w:marRight w:val="0"/>
                      <w:marTop w:val="300"/>
                      <w:marBottom w:val="300"/>
                      <w:divBdr>
                        <w:top w:val="none" w:sz="0" w:space="0" w:color="auto"/>
                        <w:left w:val="none" w:sz="0" w:space="0" w:color="auto"/>
                        <w:bottom w:val="none" w:sz="0" w:space="0" w:color="auto"/>
                        <w:right w:val="none" w:sz="0" w:space="0" w:color="auto"/>
                      </w:divBdr>
                      <w:divsChild>
                        <w:div w:id="117989252">
                          <w:marLeft w:val="0"/>
                          <w:marRight w:val="0"/>
                          <w:marTop w:val="0"/>
                          <w:marBottom w:val="0"/>
                          <w:divBdr>
                            <w:top w:val="none" w:sz="0" w:space="0" w:color="auto"/>
                            <w:left w:val="none" w:sz="0" w:space="0" w:color="auto"/>
                            <w:bottom w:val="none" w:sz="0" w:space="0" w:color="auto"/>
                            <w:right w:val="none" w:sz="0" w:space="0" w:color="auto"/>
                          </w:divBdr>
                        </w:div>
                      </w:divsChild>
                    </w:div>
                    <w:div w:id="1556241160">
                      <w:marLeft w:val="900"/>
                      <w:marRight w:val="0"/>
                      <w:marTop w:val="0"/>
                      <w:marBottom w:val="300"/>
                      <w:divBdr>
                        <w:top w:val="none" w:sz="0" w:space="0" w:color="auto"/>
                        <w:left w:val="none" w:sz="0" w:space="0" w:color="auto"/>
                        <w:bottom w:val="none" w:sz="0" w:space="0" w:color="auto"/>
                        <w:right w:val="none" w:sz="0" w:space="0" w:color="auto"/>
                      </w:divBdr>
                    </w:div>
                    <w:div w:id="2061896473">
                      <w:marLeft w:val="1350"/>
                      <w:marRight w:val="0"/>
                      <w:marTop w:val="300"/>
                      <w:marBottom w:val="300"/>
                      <w:divBdr>
                        <w:top w:val="none" w:sz="0" w:space="0" w:color="auto"/>
                        <w:left w:val="none" w:sz="0" w:space="0" w:color="auto"/>
                        <w:bottom w:val="none" w:sz="0" w:space="0" w:color="auto"/>
                        <w:right w:val="none" w:sz="0" w:space="0" w:color="auto"/>
                      </w:divBdr>
                      <w:divsChild>
                        <w:div w:id="1784496966">
                          <w:marLeft w:val="0"/>
                          <w:marRight w:val="0"/>
                          <w:marTop w:val="0"/>
                          <w:marBottom w:val="0"/>
                          <w:divBdr>
                            <w:top w:val="none" w:sz="0" w:space="0" w:color="auto"/>
                            <w:left w:val="none" w:sz="0" w:space="0" w:color="auto"/>
                            <w:bottom w:val="none" w:sz="0" w:space="0" w:color="auto"/>
                            <w:right w:val="none" w:sz="0" w:space="0" w:color="auto"/>
                          </w:divBdr>
                        </w:div>
                      </w:divsChild>
                    </w:div>
                    <w:div w:id="1042826681">
                      <w:marLeft w:val="900"/>
                      <w:marRight w:val="0"/>
                      <w:marTop w:val="0"/>
                      <w:marBottom w:val="300"/>
                      <w:divBdr>
                        <w:top w:val="none" w:sz="0" w:space="0" w:color="auto"/>
                        <w:left w:val="none" w:sz="0" w:space="0" w:color="auto"/>
                        <w:bottom w:val="none" w:sz="0" w:space="0" w:color="auto"/>
                        <w:right w:val="none" w:sz="0" w:space="0" w:color="auto"/>
                      </w:divBdr>
                    </w:div>
                    <w:div w:id="790898458">
                      <w:marLeft w:val="1350"/>
                      <w:marRight w:val="0"/>
                      <w:marTop w:val="300"/>
                      <w:marBottom w:val="300"/>
                      <w:divBdr>
                        <w:top w:val="none" w:sz="0" w:space="0" w:color="auto"/>
                        <w:left w:val="none" w:sz="0" w:space="0" w:color="auto"/>
                        <w:bottom w:val="none" w:sz="0" w:space="0" w:color="auto"/>
                        <w:right w:val="none" w:sz="0" w:space="0" w:color="auto"/>
                      </w:divBdr>
                      <w:divsChild>
                        <w:div w:id="1454595320">
                          <w:marLeft w:val="0"/>
                          <w:marRight w:val="0"/>
                          <w:marTop w:val="0"/>
                          <w:marBottom w:val="0"/>
                          <w:divBdr>
                            <w:top w:val="none" w:sz="0" w:space="0" w:color="auto"/>
                            <w:left w:val="none" w:sz="0" w:space="0" w:color="auto"/>
                            <w:bottom w:val="none" w:sz="0" w:space="0" w:color="auto"/>
                            <w:right w:val="none" w:sz="0" w:space="0" w:color="auto"/>
                          </w:divBdr>
                        </w:div>
                      </w:divsChild>
                    </w:div>
                    <w:div w:id="504437200">
                      <w:marLeft w:val="900"/>
                      <w:marRight w:val="0"/>
                      <w:marTop w:val="0"/>
                      <w:marBottom w:val="300"/>
                      <w:divBdr>
                        <w:top w:val="none" w:sz="0" w:space="0" w:color="auto"/>
                        <w:left w:val="none" w:sz="0" w:space="0" w:color="auto"/>
                        <w:bottom w:val="none" w:sz="0" w:space="0" w:color="auto"/>
                        <w:right w:val="none" w:sz="0" w:space="0" w:color="auto"/>
                      </w:divBdr>
                    </w:div>
                    <w:div w:id="966277343">
                      <w:marLeft w:val="1350"/>
                      <w:marRight w:val="0"/>
                      <w:marTop w:val="300"/>
                      <w:marBottom w:val="300"/>
                      <w:divBdr>
                        <w:top w:val="none" w:sz="0" w:space="0" w:color="auto"/>
                        <w:left w:val="none" w:sz="0" w:space="0" w:color="auto"/>
                        <w:bottom w:val="none" w:sz="0" w:space="0" w:color="auto"/>
                        <w:right w:val="none" w:sz="0" w:space="0" w:color="auto"/>
                      </w:divBdr>
                      <w:divsChild>
                        <w:div w:id="1066294373">
                          <w:marLeft w:val="0"/>
                          <w:marRight w:val="0"/>
                          <w:marTop w:val="0"/>
                          <w:marBottom w:val="0"/>
                          <w:divBdr>
                            <w:top w:val="none" w:sz="0" w:space="0" w:color="auto"/>
                            <w:left w:val="none" w:sz="0" w:space="0" w:color="auto"/>
                            <w:bottom w:val="none" w:sz="0" w:space="0" w:color="auto"/>
                            <w:right w:val="none" w:sz="0" w:space="0" w:color="auto"/>
                          </w:divBdr>
                        </w:div>
                      </w:divsChild>
                    </w:div>
                    <w:div w:id="1424958739">
                      <w:marLeft w:val="900"/>
                      <w:marRight w:val="0"/>
                      <w:marTop w:val="0"/>
                      <w:marBottom w:val="300"/>
                      <w:divBdr>
                        <w:top w:val="none" w:sz="0" w:space="0" w:color="auto"/>
                        <w:left w:val="none" w:sz="0" w:space="0" w:color="auto"/>
                        <w:bottom w:val="none" w:sz="0" w:space="0" w:color="auto"/>
                        <w:right w:val="none" w:sz="0" w:space="0" w:color="auto"/>
                      </w:divBdr>
                    </w:div>
                    <w:div w:id="1602175864">
                      <w:marLeft w:val="1350"/>
                      <w:marRight w:val="0"/>
                      <w:marTop w:val="300"/>
                      <w:marBottom w:val="300"/>
                      <w:divBdr>
                        <w:top w:val="none" w:sz="0" w:space="0" w:color="auto"/>
                        <w:left w:val="none" w:sz="0" w:space="0" w:color="auto"/>
                        <w:bottom w:val="none" w:sz="0" w:space="0" w:color="auto"/>
                        <w:right w:val="none" w:sz="0" w:space="0" w:color="auto"/>
                      </w:divBdr>
                      <w:divsChild>
                        <w:div w:id="12885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2.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38" Type="http://schemas.openxmlformats.org/officeDocument/2006/relationships/control" Target="activeX/activeX133.xml"/><Relationship Id="rId154" Type="http://schemas.openxmlformats.org/officeDocument/2006/relationships/control" Target="activeX/activeX149.xml"/><Relationship Id="rId159" Type="http://schemas.openxmlformats.org/officeDocument/2006/relationships/control" Target="activeX/activeX154.xml"/><Relationship Id="rId175" Type="http://schemas.openxmlformats.org/officeDocument/2006/relationships/control" Target="activeX/activeX170.xml"/><Relationship Id="rId170" Type="http://schemas.openxmlformats.org/officeDocument/2006/relationships/control" Target="activeX/activeX165.xml"/><Relationship Id="rId16" Type="http://schemas.openxmlformats.org/officeDocument/2006/relationships/control" Target="activeX/activeX11.xml"/><Relationship Id="rId107" Type="http://schemas.openxmlformats.org/officeDocument/2006/relationships/control" Target="activeX/activeX102.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fontTable" Target="fontTable.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72" Type="http://schemas.openxmlformats.org/officeDocument/2006/relationships/control" Target="activeX/activeX167.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1617</Words>
  <Characters>9217</Characters>
  <Application>Microsoft Office Word</Application>
  <DocSecurity>0</DocSecurity>
  <Lines>76</Lines>
  <Paragraphs>21</Paragraphs>
  <ScaleCrop>false</ScaleCrop>
  <Company/>
  <LinksUpToDate>false</LinksUpToDate>
  <CharactersWithSpaces>10813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2015-11-24T04:50:00Z</dcterms:created>
  <dcterms:modified xsi:type="dcterms:W3CDTF">2015-11-24T04:56:00Z</dcterms:modified>
</cp:coreProperties>
</file>