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6EE" w:rsidRPr="004456EE" w:rsidRDefault="004456EE" w:rsidP="004456EE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4456EE">
        <w:rPr>
          <w:rFonts w:ascii="宋体" w:eastAsia="宋体" w:hAnsi="宋体" w:cs="宋体"/>
          <w:kern w:val="0"/>
          <w:sz w:val="54"/>
          <w:szCs w:val="54"/>
        </w:rPr>
        <w:t>税务会计03任务</w:t>
      </w:r>
    </w:p>
    <w:p w:rsidR="004456EE" w:rsidRPr="004456EE" w:rsidRDefault="004456EE" w:rsidP="004456EE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4456EE">
        <w:rPr>
          <w:rFonts w:ascii="宋体" w:eastAsia="宋体" w:hAnsi="宋体" w:cs="宋体"/>
          <w:kern w:val="0"/>
          <w:sz w:val="45"/>
          <w:szCs w:val="45"/>
        </w:rPr>
        <w:br/>
      </w:r>
      <w:r w:rsidRPr="004456EE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4456EE">
        <w:rPr>
          <w:rFonts w:ascii="宋体" w:eastAsia="宋体" w:hAnsi="宋体" w:cs="宋体"/>
          <w:kern w:val="0"/>
          <w:sz w:val="45"/>
          <w:szCs w:val="45"/>
        </w:rPr>
        <w:t>选择题(共10题,共60分)</w:t>
      </w:r>
      <w:r w:rsidRPr="004456EE">
        <w:rPr>
          <w:rFonts w:ascii="宋体" w:eastAsia="宋体" w:hAnsi="宋体" w:cs="宋体"/>
          <w:kern w:val="0"/>
          <w:sz w:val="23"/>
          <w:szCs w:val="23"/>
        </w:rPr>
        <w:br/>
      </w:r>
      <w:r w:rsidRPr="004456EE">
        <w:rPr>
          <w:rFonts w:ascii="宋体" w:eastAsia="宋体" w:hAnsi="宋体" w:cs="宋体"/>
          <w:kern w:val="0"/>
          <w:sz w:val="23"/>
        </w:rPr>
        <w:t>开始说明：</w:t>
      </w:r>
      <w:r w:rsidRPr="004456EE">
        <w:rPr>
          <w:rFonts w:ascii="宋体" w:eastAsia="宋体" w:hAnsi="宋体" w:cs="宋体"/>
          <w:kern w:val="0"/>
          <w:sz w:val="23"/>
          <w:szCs w:val="23"/>
        </w:rPr>
        <w:br/>
      </w:r>
      <w:r w:rsidRPr="004456EE">
        <w:rPr>
          <w:rFonts w:ascii="宋体" w:eastAsia="宋体" w:hAnsi="宋体" w:cs="宋体"/>
          <w:kern w:val="0"/>
          <w:sz w:val="23"/>
        </w:rPr>
        <w:t>结束说明：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1.(6分)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资源税实行的税率为：( )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04" type="#_x0000_t75" style="width:20.25pt;height:15.75pt" o:ole="">
            <v:imagedata r:id="rId4" o:title=""/>
          </v:shape>
          <w:control r:id="rId5" w:name="DefaultOcxName" w:shapeid="_x0000_i1204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A、复合税率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3" type="#_x0000_t75" style="width:20.25pt;height:15.75pt" o:ole="">
            <v:imagedata r:id="rId4" o:title=""/>
          </v:shape>
          <w:control r:id="rId6" w:name="DefaultOcxName1" w:shapeid="_x0000_i1203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B、附加税率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2" type="#_x0000_t75" style="width:20.25pt;height:15.75pt" o:ole="">
            <v:imagedata r:id="rId4" o:title=""/>
          </v:shape>
          <w:control r:id="rId7" w:name="DefaultOcxName2" w:shapeid="_x0000_i1202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C、定率税率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1" type="#_x0000_t75" style="width:20.25pt;height:15.75pt" o:ole="">
            <v:imagedata r:id="rId8" o:title=""/>
          </v:shape>
          <w:control r:id="rId9" w:name="DefaultOcxName3" w:shapeid="_x0000_i1201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D、定额税率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2.(6分)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企业缴纳印花税时借记的账户为：( )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0" type="#_x0000_t75" style="width:20.25pt;height:15.75pt" o:ole="">
            <v:imagedata r:id="rId8" o:title=""/>
          </v:shape>
          <w:control r:id="rId10" w:name="DefaultOcxName4" w:shapeid="_x0000_i1200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A、管理费用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9" type="#_x0000_t75" style="width:20.25pt;height:15.75pt" o:ole="">
            <v:imagedata r:id="rId4" o:title=""/>
          </v:shape>
          <w:control r:id="rId11" w:name="DefaultOcxName5" w:shapeid="_x0000_i1199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B、销售费用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8" type="#_x0000_t75" style="width:20.25pt;height:15.75pt" o:ole="">
            <v:imagedata r:id="rId4" o:title=""/>
          </v:shape>
          <w:control r:id="rId12" w:name="DefaultOcxName6" w:shapeid="_x0000_i1198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C、账务费用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7" type="#_x0000_t75" style="width:20.25pt;height:15.75pt" o:ole="">
            <v:imagedata r:id="rId4" o:title=""/>
          </v:shape>
          <w:control r:id="rId13" w:name="DefaultOcxName7" w:shapeid="_x0000_i1197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D、营业税金及附加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3.(6分)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个人购买住房需要缴纳的税种有：( )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6" type="#_x0000_t75" style="width:20.25pt;height:15.75pt" o:ole="">
            <v:imagedata r:id="rId8" o:title=""/>
          </v:shape>
          <w:control r:id="rId14" w:name="DefaultOcxName8" w:shapeid="_x0000_i1196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A、契税和印花税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195" type="#_x0000_t75" style="width:20.25pt;height:15.75pt" o:ole="">
            <v:imagedata r:id="rId4" o:title=""/>
          </v:shape>
          <w:control r:id="rId15" w:name="DefaultOcxName9" w:shapeid="_x0000_i1195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B、印花税和土地使用税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4" type="#_x0000_t75" style="width:20.25pt;height:15.75pt" o:ole="">
            <v:imagedata r:id="rId4" o:title=""/>
          </v:shape>
          <w:control r:id="rId16" w:name="DefaultOcxName10" w:shapeid="_x0000_i1194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C、契税和营业税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3" type="#_x0000_t75" style="width:20.25pt;height:15.75pt" o:ole="">
            <v:imagedata r:id="rId4" o:title=""/>
          </v:shape>
          <w:control r:id="rId17" w:name="DefaultOcxName11" w:shapeid="_x0000_i1193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D、印花税和房产税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4.(6分)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我国不征收房产税的地方是：( )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2" type="#_x0000_t75" style="width:20.25pt;height:15.75pt" o:ole="">
            <v:imagedata r:id="rId4" o:title=""/>
          </v:shape>
          <w:control r:id="rId18" w:name="DefaultOcxName12" w:shapeid="_x0000_i1192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A、城市的市区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1" type="#_x0000_t75" style="width:20.25pt;height:15.75pt" o:ole="">
            <v:imagedata r:id="rId4" o:title=""/>
          </v:shape>
          <w:control r:id="rId19" w:name="DefaultOcxName13" w:shapeid="_x0000_i1191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B、县城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0" type="#_x0000_t75" style="width:20.25pt;height:15.75pt" o:ole="">
            <v:imagedata r:id="rId4" o:title=""/>
          </v:shape>
          <w:control r:id="rId20" w:name="DefaultOcxName14" w:shapeid="_x0000_i1190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C、建制镇和工矿区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9" type="#_x0000_t75" style="width:20.25pt;height:15.75pt" o:ole="">
            <v:imagedata r:id="rId8" o:title=""/>
          </v:shape>
          <w:control r:id="rId21" w:name="DefaultOcxName15" w:shapeid="_x0000_i1189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D、农村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5.(6分)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不属于税务筹划基本方法的是：( )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8" type="#_x0000_t75" style="width:20.25pt;height:15.75pt" o:ole="">
            <v:imagedata r:id="rId4" o:title=""/>
          </v:shape>
          <w:control r:id="rId22" w:name="DefaultOcxName16" w:shapeid="_x0000_i1188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A、缩小课税基础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7" type="#_x0000_t75" style="width:20.25pt;height:15.75pt" o:ole="">
            <v:imagedata r:id="rId4" o:title=""/>
          </v:shape>
          <w:control r:id="rId23" w:name="DefaultOcxName17" w:shapeid="_x0000_i1187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B、适用较低税率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6" type="#_x0000_t75" style="width:20.25pt;height:15.75pt" o:ole="">
            <v:imagedata r:id="rId8" o:title=""/>
          </v:shape>
          <w:control r:id="rId24" w:name="DefaultOcxName18" w:shapeid="_x0000_i1186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C、纳税成本最低化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5" type="#_x0000_t75" style="width:20.25pt;height:15.75pt" o:ole="">
            <v:imagedata r:id="rId4" o:title=""/>
          </v:shape>
          <w:control r:id="rId25" w:name="DefaultOcxName19" w:shapeid="_x0000_i1185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D、延迟纳税时间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6.(6分)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纳税人所在地在县城、建制镇的，城建税税率为：( )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4" type="#_x0000_t75" style="width:20.25pt;height:15.75pt" o:ole="">
            <v:imagedata r:id="rId4" o:title=""/>
          </v:shape>
          <w:control r:id="rId26" w:name="DefaultOcxName20" w:shapeid="_x0000_i1184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A、7%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3" type="#_x0000_t75" style="width:20.25pt;height:15.75pt" o:ole="">
            <v:imagedata r:id="rId8" o:title=""/>
          </v:shape>
          <w:control r:id="rId27" w:name="DefaultOcxName21" w:shapeid="_x0000_i1183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B、5%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2" type="#_x0000_t75" style="width:20.25pt;height:15.75pt" o:ole="">
            <v:imagedata r:id="rId4" o:title=""/>
          </v:shape>
          <w:control r:id="rId28" w:name="DefaultOcxName22" w:shapeid="_x0000_i1182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C、1%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1" type="#_x0000_t75" style="width:20.25pt;height:15.75pt" o:ole="">
            <v:imagedata r:id="rId4" o:title=""/>
          </v:shape>
          <w:control r:id="rId29" w:name="DefaultOcxName23" w:shapeid="_x0000_i1181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D、3%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7.(6分)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下列各项中，不属于车船税征税范围的是：( )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0" type="#_x0000_t75" style="width:20.25pt;height:15.75pt" o:ole="">
            <v:imagedata r:id="rId4" o:title=""/>
          </v:shape>
          <w:control r:id="rId30" w:name="DefaultOcxName24" w:shapeid="_x0000_i1180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A、三轮汽车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9" type="#_x0000_t75" style="width:20.25pt;height:15.75pt" o:ole="">
            <v:imagedata r:id="rId8" o:title=""/>
          </v:shape>
          <w:control r:id="rId31" w:name="DefaultOcxName25" w:shapeid="_x0000_i1179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B、火车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8" type="#_x0000_t75" style="width:20.25pt;height:15.75pt" o:ole="">
            <v:imagedata r:id="rId4" o:title=""/>
          </v:shape>
          <w:control r:id="rId32" w:name="DefaultOcxName26" w:shapeid="_x0000_i1178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C、摩托车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7" type="#_x0000_t75" style="width:20.25pt;height:15.75pt" o:ole="">
            <v:imagedata r:id="rId4" o:title=""/>
          </v:shape>
          <w:control r:id="rId33" w:name="DefaultOcxName27" w:shapeid="_x0000_i1177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D、船舶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8.(6分)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教育费附加率为：( )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6" type="#_x0000_t75" style="width:20.25pt;height:15.75pt" o:ole="">
            <v:imagedata r:id="rId4" o:title=""/>
          </v:shape>
          <w:control r:id="rId34" w:name="DefaultOcxName28" w:shapeid="_x0000_i1176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A、6%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5" type="#_x0000_t75" style="width:20.25pt;height:15.75pt" o:ole="">
            <v:imagedata r:id="rId8" o:title=""/>
          </v:shape>
          <w:control r:id="rId35" w:name="DefaultOcxName29" w:shapeid="_x0000_i1175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B、3%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4" type="#_x0000_t75" style="width:20.25pt;height:15.75pt" o:ole="">
            <v:imagedata r:id="rId4" o:title=""/>
          </v:shape>
          <w:control r:id="rId36" w:name="DefaultOcxName30" w:shapeid="_x0000_i1174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C、5%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3" type="#_x0000_t75" style="width:20.25pt;height:15.75pt" o:ole="">
            <v:imagedata r:id="rId4" o:title=""/>
          </v:shape>
          <w:control r:id="rId37" w:name="DefaultOcxName31" w:shapeid="_x0000_i1173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D、12%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9.(6分)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甲乙双方发生房屋交换行为，当交换价格不相等时，则契税的缴纳方为：( )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2" type="#_x0000_t75" style="width:20.25pt;height:15.75pt" o:ole="">
            <v:imagedata r:id="rId4" o:title=""/>
          </v:shape>
          <w:control r:id="rId38" w:name="DefaultOcxName32" w:shapeid="_x0000_i1172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A、收差价的一方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1" type="#_x0000_t75" style="width:20.25pt;height:15.75pt" o:ole="">
            <v:imagedata r:id="rId8" o:title=""/>
          </v:shape>
          <w:control r:id="rId39" w:name="DefaultOcxName33" w:shapeid="_x0000_i1171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B、补差价的一方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0" type="#_x0000_t75" style="width:20.25pt;height:15.75pt" o:ole="">
            <v:imagedata r:id="rId4" o:title=""/>
          </v:shape>
          <w:control r:id="rId40" w:name="DefaultOcxName34" w:shapeid="_x0000_i1170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C、甲乙双方各缴一半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9" type="#_x0000_t75" style="width:20.25pt;height:15.75pt" o:ole="">
            <v:imagedata r:id="rId4" o:title=""/>
          </v:shape>
          <w:control r:id="rId41" w:name="DefaultOcxName35" w:shapeid="_x0000_i1169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D、甲乙双方都不缴纳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10.(6分)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土地增值税的税率采用的是：( )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8" type="#_x0000_t75" style="width:20.25pt;height:15.75pt" o:ole="">
            <v:imagedata r:id="rId8" o:title=""/>
          </v:shape>
          <w:control r:id="rId42" w:name="DefaultOcxName36" w:shapeid="_x0000_i1168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A、四级超率累进税率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7" type="#_x0000_t75" style="width:20.25pt;height:15.75pt" o:ole="">
            <v:imagedata r:id="rId4" o:title=""/>
          </v:shape>
          <w:control r:id="rId43" w:name="DefaultOcxName37" w:shapeid="_x0000_i1167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B、比例税率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166" type="#_x0000_t75" style="width:20.25pt;height:15.75pt" o:ole="">
            <v:imagedata r:id="rId4" o:title=""/>
          </v:shape>
          <w:control r:id="rId44" w:name="DefaultOcxName38" w:shapeid="_x0000_i1166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C、定额税率</w: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4456E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5" type="#_x0000_t75" style="width:20.25pt;height:15.75pt" o:ole="">
            <v:imagedata r:id="rId4" o:title=""/>
          </v:shape>
          <w:control r:id="rId45" w:name="DefaultOcxName39" w:shapeid="_x0000_i1165"/>
        </w:object>
      </w:r>
      <w:r w:rsidRPr="004456EE">
        <w:rPr>
          <w:rFonts w:ascii="宋体" w:eastAsia="宋体" w:hAnsi="宋体" w:cs="宋体" w:hint="eastAsia"/>
          <w:kern w:val="0"/>
          <w:sz w:val="32"/>
          <w:szCs w:val="32"/>
        </w:rPr>
        <w:t>D、四级超额累进税率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4456EE">
        <w:rPr>
          <w:rFonts w:ascii="宋体" w:eastAsia="宋体" w:hAnsi="宋体" w:cs="宋体"/>
          <w:kern w:val="0"/>
          <w:sz w:val="45"/>
          <w:szCs w:val="45"/>
        </w:rPr>
        <w:t>判断题(共10题,共40分)</w:t>
      </w:r>
      <w:r w:rsidRPr="004456EE">
        <w:rPr>
          <w:rFonts w:ascii="宋体" w:eastAsia="宋体" w:hAnsi="宋体" w:cs="宋体"/>
          <w:kern w:val="0"/>
          <w:sz w:val="23"/>
          <w:szCs w:val="23"/>
        </w:rPr>
        <w:br/>
      </w:r>
      <w:r w:rsidRPr="004456EE">
        <w:rPr>
          <w:rFonts w:ascii="宋体" w:eastAsia="宋体" w:hAnsi="宋体" w:cs="宋体"/>
          <w:kern w:val="0"/>
          <w:sz w:val="23"/>
        </w:rPr>
        <w:t>开始说明：</w:t>
      </w:r>
      <w:r w:rsidRPr="004456EE">
        <w:rPr>
          <w:rFonts w:ascii="宋体" w:eastAsia="宋体" w:hAnsi="宋体" w:cs="宋体"/>
          <w:kern w:val="0"/>
          <w:sz w:val="23"/>
          <w:szCs w:val="23"/>
        </w:rPr>
        <w:br/>
      </w:r>
      <w:r w:rsidRPr="004456EE">
        <w:rPr>
          <w:rFonts w:ascii="宋体" w:eastAsia="宋体" w:hAnsi="宋体" w:cs="宋体"/>
          <w:kern w:val="0"/>
          <w:sz w:val="23"/>
        </w:rPr>
        <w:t>结束说明：</w:t>
      </w:r>
    </w:p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11.(4分)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4456EE" w:rsidRPr="004456EE" w:rsidTr="004456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节税是在税法规定的范围内，纳税人以税负最低而且企业价值最大化为目的，对企业筹资、经营、投资等经济活动进行的涉税选择行为。</w:t>
            </w:r>
          </w:p>
        </w:tc>
      </w:tr>
      <w:tr w:rsidR="004456EE" w:rsidRPr="004456EE" w:rsidTr="004456E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4" type="#_x0000_t75" style="width:20.25pt;height:15.75pt" o:ole="">
                  <v:imagedata r:id="rId8" o:title=""/>
                </v:shape>
                <w:control r:id="rId46" w:name="DefaultOcxName40" w:shapeid="_x0000_i1164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3" type="#_x0000_t75" style="width:20.25pt;height:15.75pt" o:ole="">
                  <v:imagedata r:id="rId4" o:title=""/>
                </v:shape>
                <w:control r:id="rId47" w:name="DefaultOcxName41" w:shapeid="_x0000_i1163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12.(4分)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4456EE" w:rsidRPr="004456EE" w:rsidTr="004456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房产税的计税依据有房产余值和租金收入。</w:t>
            </w:r>
          </w:p>
        </w:tc>
      </w:tr>
      <w:tr w:rsidR="004456EE" w:rsidRPr="004456EE" w:rsidTr="004456E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2" type="#_x0000_t75" style="width:20.25pt;height:15.75pt" o:ole="">
                  <v:imagedata r:id="rId8" o:title=""/>
                </v:shape>
                <w:control r:id="rId48" w:name="DefaultOcxName42" w:shapeid="_x0000_i1162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1" type="#_x0000_t75" style="width:20.25pt;height:15.75pt" o:ole="">
                  <v:imagedata r:id="rId4" o:title=""/>
                </v:shape>
                <w:control r:id="rId49" w:name="DefaultOcxName43" w:shapeid="_x0000_i1161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13.(4分)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</w:tblGrid>
      <w:tr w:rsidR="004456EE" w:rsidRPr="004456EE" w:rsidTr="004456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税务会计是以会计法规定为依据进行会计处理。</w:t>
            </w:r>
          </w:p>
        </w:tc>
      </w:tr>
      <w:tr w:rsidR="004456EE" w:rsidRPr="004456EE" w:rsidTr="004456E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0" type="#_x0000_t75" style="width:20.25pt;height:15.75pt" o:ole="">
                  <v:imagedata r:id="rId4" o:title=""/>
                </v:shape>
                <w:control r:id="rId50" w:name="DefaultOcxName44" w:shapeid="_x0000_i1160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9" type="#_x0000_t75" style="width:20.25pt;height:15.75pt" o:ole="">
                  <v:imagedata r:id="rId8" o:title=""/>
                </v:shape>
                <w:control r:id="rId51" w:name="DefaultOcxName45" w:shapeid="_x0000_i1159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14.(4分)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30"/>
      </w:tblGrid>
      <w:tr w:rsidR="004456EE" w:rsidRPr="004456EE" w:rsidTr="004456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在一个纳税年度内，已完税的车船被盗抢、报废、灭失的，不得申请退还已经缴纳的车船税税额。</w:t>
            </w:r>
          </w:p>
        </w:tc>
      </w:tr>
      <w:tr w:rsidR="004456EE" w:rsidRPr="004456EE" w:rsidTr="004456E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8" type="#_x0000_t75" style="width:20.25pt;height:15.75pt" o:ole="">
                  <v:imagedata r:id="rId4" o:title=""/>
                </v:shape>
                <w:control r:id="rId52" w:name="DefaultOcxName46" w:shapeid="_x0000_i1158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7" type="#_x0000_t75" style="width:20.25pt;height:15.75pt" o:ole="">
                  <v:imagedata r:id="rId8" o:title=""/>
                </v:shape>
                <w:control r:id="rId53" w:name="DefaultOcxName47" w:shapeid="_x0000_i1157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15.(4分)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30"/>
      </w:tblGrid>
      <w:tr w:rsidR="004456EE" w:rsidRPr="004456EE" w:rsidTr="004456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城市维护建税、教育费附加是随同增值税、消费税、营业税减免而减免的。</w:t>
            </w:r>
          </w:p>
        </w:tc>
      </w:tr>
      <w:tr w:rsidR="004456EE" w:rsidRPr="004456EE" w:rsidTr="004456E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6" type="#_x0000_t75" style="width:20.25pt;height:15.75pt" o:ole="">
                  <v:imagedata r:id="rId8" o:title=""/>
                </v:shape>
                <w:control r:id="rId54" w:name="DefaultOcxName48" w:shapeid="_x0000_i1156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5" type="#_x0000_t75" style="width:20.25pt;height:15.75pt" o:ole="">
                  <v:imagedata r:id="rId4" o:title=""/>
                </v:shape>
                <w:control r:id="rId55" w:name="DefaultOcxName49" w:shapeid="_x0000_i1155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16.(4分)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</w:tblGrid>
      <w:tr w:rsidR="004456EE" w:rsidRPr="004456EE" w:rsidTr="004456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税务筹划最终目标是实现企业价值最大化，税收负担最小化。</w:t>
            </w:r>
          </w:p>
        </w:tc>
      </w:tr>
      <w:tr w:rsidR="004456EE" w:rsidRPr="004456EE" w:rsidTr="004456E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4" type="#_x0000_t75" style="width:20.25pt;height:15.75pt" o:ole="">
                  <v:imagedata r:id="rId8" o:title=""/>
                </v:shape>
                <w:control r:id="rId56" w:name="DefaultOcxName50" w:shapeid="_x0000_i1154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3" type="#_x0000_t75" style="width:20.25pt;height:15.75pt" o:ole="">
                  <v:imagedata r:id="rId4" o:title=""/>
                </v:shape>
                <w:control r:id="rId57" w:name="DefaultOcxName51" w:shapeid="_x0000_i1153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17.(4分)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0"/>
      </w:tblGrid>
      <w:tr w:rsidR="004456EE" w:rsidRPr="004456EE" w:rsidTr="004456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局限性是税务筹划的特点之一。</w:t>
            </w:r>
          </w:p>
        </w:tc>
      </w:tr>
      <w:tr w:rsidR="004456EE" w:rsidRPr="004456EE" w:rsidTr="004456E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2" type="#_x0000_t75" style="width:20.25pt;height:15.75pt" o:ole="">
                  <v:imagedata r:id="rId4" o:title=""/>
                </v:shape>
                <w:control r:id="rId58" w:name="DefaultOcxName52" w:shapeid="_x0000_i1152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1" type="#_x0000_t75" style="width:20.25pt;height:15.75pt" o:ole="">
                  <v:imagedata r:id="rId8" o:title=""/>
                </v:shape>
                <w:control r:id="rId59" w:name="DefaultOcxName53" w:shapeid="_x0000_i1151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18.(4分)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0"/>
      </w:tblGrid>
      <w:tr w:rsidR="004456EE" w:rsidRPr="004456EE" w:rsidTr="004456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离岸价格不含关税。</w:t>
            </w:r>
          </w:p>
        </w:tc>
      </w:tr>
      <w:tr w:rsidR="004456EE" w:rsidRPr="004456EE" w:rsidTr="004456E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0" type="#_x0000_t75" style="width:20.25pt;height:15.75pt" o:ole="">
                  <v:imagedata r:id="rId4" o:title=""/>
                </v:shape>
                <w:control r:id="rId60" w:name="DefaultOcxName54" w:shapeid="_x0000_i1150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9" type="#_x0000_t75" style="width:20.25pt;height:15.75pt" o:ole="">
                  <v:imagedata r:id="rId8" o:title=""/>
                </v:shape>
                <w:control r:id="rId61" w:name="DefaultOcxName55" w:shapeid="_x0000_i1149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19.(4分)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0"/>
      </w:tblGrid>
      <w:tr w:rsidR="004456EE" w:rsidRPr="004456EE" w:rsidTr="004456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“所得税费用”账户是损益类账户，期末结转后无余额。</w:t>
            </w:r>
          </w:p>
        </w:tc>
      </w:tr>
      <w:tr w:rsidR="004456EE" w:rsidRPr="004456EE" w:rsidTr="004456E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8" type="#_x0000_t75" style="width:20.25pt;height:15.75pt" o:ole="">
                  <v:imagedata r:id="rId8" o:title=""/>
                </v:shape>
                <w:control r:id="rId62" w:name="DefaultOcxName56" w:shapeid="_x0000_i1148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7" type="#_x0000_t75" style="width:20.25pt;height:15.75pt" o:ole="">
                  <v:imagedata r:id="rId4" o:title=""/>
                </v:shape>
                <w:control r:id="rId63" w:name="DefaultOcxName57" w:shapeid="_x0000_i1147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4456EE" w:rsidRPr="004456EE" w:rsidRDefault="004456EE" w:rsidP="004456E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4456EE">
        <w:rPr>
          <w:rFonts w:ascii="宋体" w:eastAsia="宋体" w:hAnsi="宋体" w:cs="宋体"/>
          <w:kern w:val="0"/>
          <w:sz w:val="32"/>
          <w:szCs w:val="32"/>
        </w:rPr>
        <w:t>20.(4分)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0"/>
      </w:tblGrid>
      <w:tr w:rsidR="004456EE" w:rsidRPr="004456EE" w:rsidTr="004456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企业计提城市维护建设税，应通过“营业税金及附加”科目进行核算。</w:t>
            </w:r>
          </w:p>
        </w:tc>
      </w:tr>
      <w:tr w:rsidR="004456EE" w:rsidRPr="004456EE" w:rsidTr="004456E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146" type="#_x0000_t75" style="width:20.25pt;height:15.75pt" o:ole="">
                  <v:imagedata r:id="rId8" o:title=""/>
                </v:shape>
                <w:control r:id="rId64" w:name="DefaultOcxName58" w:shapeid="_x0000_i1146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4456EE" w:rsidRPr="004456EE" w:rsidTr="004456E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456EE" w:rsidRPr="004456EE" w:rsidRDefault="004456EE" w:rsidP="004456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5" type="#_x0000_t75" style="width:20.25pt;height:15.75pt" o:ole="">
                  <v:imagedata r:id="rId4" o:title=""/>
                </v:shape>
                <w:control r:id="rId65" w:name="DefaultOcxName59" w:shapeid="_x0000_i1145"/>
              </w:object>
            </w:r>
            <w:r w:rsidRPr="004456E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1511E" w:rsidRDefault="0051511E"/>
    <w:sectPr w:rsidR="0051511E" w:rsidSect="005151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56EE"/>
    <w:rsid w:val="004456EE"/>
    <w:rsid w:val="00515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1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4456EE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9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5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50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445093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29774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215773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49778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8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1499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73004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91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472013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80750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72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048174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26301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59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16245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99852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27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857728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25849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315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7549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92053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88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92051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39587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71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039289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79114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50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015200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78780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36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40540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7216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77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058770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40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7460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73264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73217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65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78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511953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11959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11538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5806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96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418160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72971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41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73036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011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3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935286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77773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3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51171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16596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54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737162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81196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34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06895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39473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33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fontTable" Target="fontTable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61" Type="http://schemas.openxmlformats.org/officeDocument/2006/relationships/control" Target="activeX/activeX56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8" Type="http://schemas.openxmlformats.org/officeDocument/2006/relationships/image" Target="media/image2.wmf"/><Relationship Id="rId51" Type="http://schemas.openxmlformats.org/officeDocument/2006/relationships/control" Target="activeX/activeX46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theme" Target="theme/theme1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2015-11-25T02:18:00Z</dcterms:created>
  <dcterms:modified xsi:type="dcterms:W3CDTF">2015-11-25T02:18:00Z</dcterms:modified>
</cp:coreProperties>
</file>