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Override PartName="/word/activeX/activeX163.xml" ContentType="application/vnd.ms-office.activeX+xml"/>
  <Override PartName="/word/activeX/activeX174.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81.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186.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188.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189.xml" ContentType="application/vnd.ms-office.activeX+xml"/>
  <Override PartName="/word/activeX/activeX8.xml" ContentType="application/vnd.ms-office.activeX+xml"/>
  <Override PartName="/word/activeX/activeX149.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2CC" w:rsidRPr="00B662CC" w:rsidRDefault="00B662CC" w:rsidP="00B662CC">
      <w:pPr>
        <w:widowControl/>
        <w:shd w:val="clear" w:color="auto" w:fill="EEF3F9"/>
        <w:jc w:val="center"/>
        <w:rPr>
          <w:rFonts w:ascii="宋体" w:eastAsia="宋体" w:hAnsi="宋体" w:cs="宋体"/>
          <w:kern w:val="0"/>
          <w:sz w:val="54"/>
          <w:szCs w:val="54"/>
        </w:rPr>
      </w:pPr>
      <w:r w:rsidRPr="00B662CC">
        <w:rPr>
          <w:rFonts w:ascii="宋体" w:eastAsia="宋体" w:hAnsi="宋体" w:cs="宋体"/>
          <w:kern w:val="0"/>
          <w:sz w:val="54"/>
          <w:szCs w:val="54"/>
        </w:rPr>
        <w:t>金融企业会计01</w:t>
      </w:r>
    </w:p>
    <w:p w:rsidR="00B662CC" w:rsidRPr="00B662CC" w:rsidRDefault="00B662CC" w:rsidP="00B662CC">
      <w:pPr>
        <w:widowControl/>
        <w:shd w:val="clear" w:color="auto" w:fill="EEF3F9"/>
        <w:jc w:val="center"/>
        <w:rPr>
          <w:rFonts w:ascii="宋体" w:eastAsia="宋体" w:hAnsi="宋体" w:cs="宋体"/>
          <w:kern w:val="0"/>
          <w:sz w:val="32"/>
          <w:szCs w:val="32"/>
        </w:rPr>
      </w:pPr>
      <w:r w:rsidRPr="00B662CC">
        <w:rPr>
          <w:rFonts w:ascii="宋体" w:eastAsia="宋体" w:hAnsi="宋体" w:cs="宋体"/>
          <w:kern w:val="0"/>
          <w:sz w:val="32"/>
          <w:szCs w:val="32"/>
        </w:rPr>
        <w:t>试卷总分：100</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br/>
      </w:r>
      <w:r w:rsidRPr="00B662CC">
        <w:rPr>
          <w:rFonts w:ascii="宋体" w:eastAsia="宋体" w:hAnsi="宋体" w:cs="宋体"/>
          <w:kern w:val="0"/>
          <w:sz w:val="45"/>
          <w:szCs w:val="45"/>
        </w:rPr>
        <w:br/>
        <w:t>1</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t>单选题(共6题,共30分)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科目代码的第一位代表科目所属的大类，5代表：</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20.25pt;height:15.75pt" o:ole="">
            <v:imagedata r:id="rId4" o:title=""/>
          </v:shape>
          <w:control r:id="rId5" w:name="DefaultOcxName" w:shapeid="_x0000_i1216"/>
        </w:object>
      </w:r>
      <w:r w:rsidRPr="00B662CC">
        <w:rPr>
          <w:rFonts w:ascii="宋体" w:eastAsia="宋体" w:hAnsi="宋体" w:cs="宋体" w:hint="eastAsia"/>
          <w:kern w:val="0"/>
          <w:sz w:val="32"/>
          <w:szCs w:val="32"/>
        </w:rPr>
        <w:t>A、损益类科目</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15" type="#_x0000_t75" style="width:20.25pt;height:15.75pt" o:ole="">
            <v:imagedata r:id="rId6" o:title=""/>
          </v:shape>
          <w:control r:id="rId7" w:name="DefaultOcxName1" w:shapeid="_x0000_i1215"/>
        </w:object>
      </w:r>
      <w:r w:rsidRPr="00B662CC">
        <w:rPr>
          <w:rFonts w:ascii="宋体" w:eastAsia="宋体" w:hAnsi="宋体" w:cs="宋体" w:hint="eastAsia"/>
          <w:kern w:val="0"/>
          <w:sz w:val="32"/>
          <w:szCs w:val="32"/>
        </w:rPr>
        <w:t>B、资产类科目</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14" type="#_x0000_t75" style="width:20.25pt;height:15.75pt" o:ole="">
            <v:imagedata r:id="rId6" o:title=""/>
          </v:shape>
          <w:control r:id="rId8" w:name="DefaultOcxName2" w:shapeid="_x0000_i1214"/>
        </w:object>
      </w:r>
      <w:r w:rsidRPr="00B662CC">
        <w:rPr>
          <w:rFonts w:ascii="宋体" w:eastAsia="宋体" w:hAnsi="宋体" w:cs="宋体" w:hint="eastAsia"/>
          <w:kern w:val="0"/>
          <w:sz w:val="32"/>
          <w:szCs w:val="32"/>
        </w:rPr>
        <w:t>C、负债类科目</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13" type="#_x0000_t75" style="width:20.25pt;height:15.75pt" o:ole="">
            <v:imagedata r:id="rId6" o:title=""/>
          </v:shape>
          <w:control r:id="rId9" w:name="DefaultOcxName3" w:shapeid="_x0000_i1213"/>
        </w:object>
      </w:r>
      <w:r w:rsidRPr="00B662CC">
        <w:rPr>
          <w:rFonts w:ascii="宋体" w:eastAsia="宋体" w:hAnsi="宋体" w:cs="宋体" w:hint="eastAsia"/>
          <w:kern w:val="0"/>
          <w:sz w:val="32"/>
          <w:szCs w:val="32"/>
        </w:rPr>
        <w:t>D、所有者权益类科目</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2.(5分)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目前银行统一采用的记账方法是：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12" type="#_x0000_t75" style="width:20.25pt;height:15.75pt" o:ole="">
            <v:imagedata r:id="rId6" o:title=""/>
          </v:shape>
          <w:control r:id="rId10" w:name="DefaultOcxName4" w:shapeid="_x0000_i1212"/>
        </w:object>
      </w:r>
      <w:r w:rsidRPr="00B662CC">
        <w:rPr>
          <w:rFonts w:ascii="宋体" w:eastAsia="宋体" w:hAnsi="宋体" w:cs="宋体" w:hint="eastAsia"/>
          <w:kern w:val="0"/>
          <w:sz w:val="32"/>
          <w:szCs w:val="32"/>
        </w:rPr>
        <w:t>A、收付复式记账法</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11" type="#_x0000_t75" style="width:20.25pt;height:15.75pt" o:ole="">
            <v:imagedata r:id="rId4" o:title=""/>
          </v:shape>
          <w:control r:id="rId11" w:name="DefaultOcxName5" w:shapeid="_x0000_i1211"/>
        </w:object>
      </w:r>
      <w:r w:rsidRPr="00B662CC">
        <w:rPr>
          <w:rFonts w:ascii="宋体" w:eastAsia="宋体" w:hAnsi="宋体" w:cs="宋体" w:hint="eastAsia"/>
          <w:kern w:val="0"/>
          <w:sz w:val="32"/>
          <w:szCs w:val="32"/>
        </w:rPr>
        <w:t>B、借贷记账法</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10" type="#_x0000_t75" style="width:20.25pt;height:15.75pt" o:ole="">
            <v:imagedata r:id="rId6" o:title=""/>
          </v:shape>
          <w:control r:id="rId12" w:name="DefaultOcxName6" w:shapeid="_x0000_i1210"/>
        </w:object>
      </w:r>
      <w:r w:rsidRPr="00B662CC">
        <w:rPr>
          <w:rFonts w:ascii="宋体" w:eastAsia="宋体" w:hAnsi="宋体" w:cs="宋体" w:hint="eastAsia"/>
          <w:kern w:val="0"/>
          <w:sz w:val="32"/>
          <w:szCs w:val="32"/>
        </w:rPr>
        <w:t>C、增减记账法</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9" type="#_x0000_t75" style="width:20.25pt;height:15.75pt" o:ole="">
            <v:imagedata r:id="rId6" o:title=""/>
          </v:shape>
          <w:control r:id="rId13" w:name="DefaultOcxName7" w:shapeid="_x0000_i1209"/>
        </w:object>
      </w:r>
      <w:r w:rsidRPr="00B662CC">
        <w:rPr>
          <w:rFonts w:ascii="宋体" w:eastAsia="宋体" w:hAnsi="宋体" w:cs="宋体" w:hint="eastAsia"/>
          <w:kern w:val="0"/>
          <w:sz w:val="32"/>
          <w:szCs w:val="32"/>
        </w:rPr>
        <w:t>D、单式记账法</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3.(5分)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下列不属于中国工商银行负债类会计科目的是：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8" type="#_x0000_t75" style="width:20.25pt;height:15.75pt" o:ole="">
            <v:imagedata r:id="rId6" o:title=""/>
          </v:shape>
          <w:control r:id="rId14" w:name="DefaultOcxName8" w:shapeid="_x0000_i1208"/>
        </w:object>
      </w:r>
      <w:r w:rsidRPr="00B662CC">
        <w:rPr>
          <w:rFonts w:ascii="宋体" w:eastAsia="宋体" w:hAnsi="宋体" w:cs="宋体" w:hint="eastAsia"/>
          <w:kern w:val="0"/>
          <w:sz w:val="32"/>
          <w:szCs w:val="32"/>
        </w:rPr>
        <w:t>A、单位定期存款</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lastRenderedPageBreak/>
        <w:object w:dxaOrig="1440" w:dyaOrig="1440">
          <v:shape id="_x0000_i1207" type="#_x0000_t75" style="width:20.25pt;height:15.75pt" o:ole="">
            <v:imagedata r:id="rId6" o:title=""/>
          </v:shape>
          <w:control r:id="rId15" w:name="DefaultOcxName9" w:shapeid="_x0000_i1207"/>
        </w:object>
      </w:r>
      <w:r w:rsidRPr="00B662CC">
        <w:rPr>
          <w:rFonts w:ascii="宋体" w:eastAsia="宋体" w:hAnsi="宋体" w:cs="宋体" w:hint="eastAsia"/>
          <w:kern w:val="0"/>
          <w:sz w:val="32"/>
          <w:szCs w:val="32"/>
        </w:rPr>
        <w:t>B、银行卡存款</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6" type="#_x0000_t75" style="width:20.25pt;height:15.75pt" o:ole="">
            <v:imagedata r:id="rId4" o:title=""/>
          </v:shape>
          <w:control r:id="rId16" w:name="DefaultOcxName10" w:shapeid="_x0000_i1206"/>
        </w:object>
      </w:r>
      <w:r w:rsidRPr="00B662CC">
        <w:rPr>
          <w:rFonts w:ascii="宋体" w:eastAsia="宋体" w:hAnsi="宋体" w:cs="宋体" w:hint="eastAsia"/>
          <w:kern w:val="0"/>
          <w:sz w:val="32"/>
          <w:szCs w:val="32"/>
        </w:rPr>
        <w:t>C、同业透支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5" type="#_x0000_t75" style="width:20.25pt;height:15.75pt" o:ole="">
            <v:imagedata r:id="rId6" o:title=""/>
          </v:shape>
          <w:control r:id="rId17" w:name="DefaultOcxName11" w:shapeid="_x0000_i1205"/>
        </w:object>
      </w:r>
      <w:r w:rsidRPr="00B662CC">
        <w:rPr>
          <w:rFonts w:ascii="宋体" w:eastAsia="宋体" w:hAnsi="宋体" w:cs="宋体" w:hint="eastAsia"/>
          <w:kern w:val="0"/>
          <w:sz w:val="32"/>
          <w:szCs w:val="32"/>
        </w:rPr>
        <w:t>D、同业借款</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4.(5分)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借贷记账法借方登记：</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4" type="#_x0000_t75" style="width:20.25pt;height:15.75pt" o:ole="">
            <v:imagedata r:id="rId6" o:title=""/>
          </v:shape>
          <w:control r:id="rId18" w:name="DefaultOcxName12" w:shapeid="_x0000_i1204"/>
        </w:object>
      </w:r>
      <w:r w:rsidRPr="00B662CC">
        <w:rPr>
          <w:rFonts w:ascii="宋体" w:eastAsia="宋体" w:hAnsi="宋体" w:cs="宋体" w:hint="eastAsia"/>
          <w:kern w:val="0"/>
          <w:sz w:val="32"/>
          <w:szCs w:val="32"/>
        </w:rPr>
        <w:t>A、费用的减少</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3" type="#_x0000_t75" style="width:20.25pt;height:15.75pt" o:ole="">
            <v:imagedata r:id="rId6" o:title=""/>
          </v:shape>
          <w:control r:id="rId19" w:name="DefaultOcxName13" w:shapeid="_x0000_i1203"/>
        </w:object>
      </w:r>
      <w:r w:rsidRPr="00B662CC">
        <w:rPr>
          <w:rFonts w:ascii="宋体" w:eastAsia="宋体" w:hAnsi="宋体" w:cs="宋体" w:hint="eastAsia"/>
          <w:kern w:val="0"/>
          <w:sz w:val="32"/>
          <w:szCs w:val="32"/>
        </w:rPr>
        <w:t>B、负债的增加</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2" type="#_x0000_t75" style="width:20.25pt;height:15.75pt" o:ole="">
            <v:imagedata r:id="rId4" o:title=""/>
          </v:shape>
          <w:control r:id="rId20" w:name="DefaultOcxName14" w:shapeid="_x0000_i1202"/>
        </w:object>
      </w:r>
      <w:r w:rsidRPr="00B662CC">
        <w:rPr>
          <w:rFonts w:ascii="宋体" w:eastAsia="宋体" w:hAnsi="宋体" w:cs="宋体" w:hint="eastAsia"/>
          <w:kern w:val="0"/>
          <w:sz w:val="32"/>
          <w:szCs w:val="32"/>
        </w:rPr>
        <w:t>C、资产的增加</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1" type="#_x0000_t75" style="width:20.25pt;height:15.75pt" o:ole="">
            <v:imagedata r:id="rId6" o:title=""/>
          </v:shape>
          <w:control r:id="rId21" w:name="DefaultOcxName15" w:shapeid="_x0000_i1201"/>
        </w:object>
      </w:r>
      <w:r w:rsidRPr="00B662CC">
        <w:rPr>
          <w:rFonts w:ascii="宋体" w:eastAsia="宋体" w:hAnsi="宋体" w:cs="宋体" w:hint="eastAsia"/>
          <w:kern w:val="0"/>
          <w:sz w:val="32"/>
          <w:szCs w:val="32"/>
        </w:rPr>
        <w:t>D、资产的减少</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5.(5分)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资产负债共同类科目不包括：</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200" type="#_x0000_t75" style="width:20.25pt;height:15.75pt" o:ole="">
            <v:imagedata r:id="rId6" o:title=""/>
          </v:shape>
          <w:control r:id="rId22" w:name="DefaultOcxName16" w:shapeid="_x0000_i1200"/>
        </w:object>
      </w:r>
      <w:r w:rsidRPr="00B662CC">
        <w:rPr>
          <w:rFonts w:ascii="宋体" w:eastAsia="宋体" w:hAnsi="宋体" w:cs="宋体" w:hint="eastAsia"/>
          <w:kern w:val="0"/>
          <w:sz w:val="32"/>
          <w:szCs w:val="32"/>
        </w:rPr>
        <w:t>A、银行财务往来</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199" type="#_x0000_t75" style="width:20.25pt;height:15.75pt" o:ole="">
            <v:imagedata r:id="rId6" o:title=""/>
          </v:shape>
          <w:control r:id="rId23" w:name="DefaultOcxName17" w:shapeid="_x0000_i1199"/>
        </w:object>
      </w:r>
      <w:r w:rsidRPr="00B662CC">
        <w:rPr>
          <w:rFonts w:ascii="宋体" w:eastAsia="宋体" w:hAnsi="宋体" w:cs="宋体" w:hint="eastAsia"/>
          <w:kern w:val="0"/>
          <w:sz w:val="32"/>
          <w:szCs w:val="32"/>
        </w:rPr>
        <w:t>B、待清算辖内往来</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198" type="#_x0000_t75" style="width:20.25pt;height:15.75pt" o:ole="">
            <v:imagedata r:id="rId6" o:title=""/>
          </v:shape>
          <w:control r:id="rId24" w:name="DefaultOcxName18" w:shapeid="_x0000_i1198"/>
        </w:object>
      </w:r>
      <w:r w:rsidRPr="00B662CC">
        <w:rPr>
          <w:rFonts w:ascii="宋体" w:eastAsia="宋体" w:hAnsi="宋体" w:cs="宋体" w:hint="eastAsia"/>
          <w:kern w:val="0"/>
          <w:sz w:val="32"/>
          <w:szCs w:val="32"/>
        </w:rPr>
        <w:t>C、外汇买卖</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197" type="#_x0000_t75" style="width:20.25pt;height:15.75pt" o:ole="">
            <v:imagedata r:id="rId4" o:title=""/>
          </v:shape>
          <w:control r:id="rId25" w:name="DefaultOcxName19" w:shapeid="_x0000_i1197"/>
        </w:object>
      </w:r>
      <w:r w:rsidRPr="00B662CC">
        <w:rPr>
          <w:rFonts w:ascii="宋体" w:eastAsia="宋体" w:hAnsi="宋体" w:cs="宋体" w:hint="eastAsia"/>
          <w:kern w:val="0"/>
          <w:sz w:val="32"/>
          <w:szCs w:val="32"/>
        </w:rPr>
        <w:t>D、同业拆入</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6.(5分)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现金收入业务需填制的凭证是：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196" type="#_x0000_t75" style="width:20.25pt;height:15.75pt" o:ole="">
            <v:imagedata r:id="rId6" o:title=""/>
          </v:shape>
          <w:control r:id="rId26" w:name="DefaultOcxName20" w:shapeid="_x0000_i1196"/>
        </w:object>
      </w:r>
      <w:r w:rsidRPr="00B662CC">
        <w:rPr>
          <w:rFonts w:ascii="宋体" w:eastAsia="宋体" w:hAnsi="宋体" w:cs="宋体" w:hint="eastAsia"/>
          <w:kern w:val="0"/>
          <w:sz w:val="32"/>
          <w:szCs w:val="32"/>
        </w:rPr>
        <w:t>A、一张现金付出传票</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195" type="#_x0000_t75" style="width:20.25pt;height:15.75pt" o:ole="">
            <v:imagedata r:id="rId4" o:title=""/>
          </v:shape>
          <w:control r:id="rId27" w:name="DefaultOcxName21" w:shapeid="_x0000_i1195"/>
        </w:object>
      </w:r>
      <w:r w:rsidRPr="00B662CC">
        <w:rPr>
          <w:rFonts w:ascii="宋体" w:eastAsia="宋体" w:hAnsi="宋体" w:cs="宋体" w:hint="eastAsia"/>
          <w:kern w:val="0"/>
          <w:sz w:val="32"/>
          <w:szCs w:val="32"/>
        </w:rPr>
        <w:t>B、一张现金收入传票</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194" type="#_x0000_t75" style="width:20.25pt;height:15.75pt" o:ole="">
            <v:imagedata r:id="rId6" o:title=""/>
          </v:shape>
          <w:control r:id="rId28" w:name="DefaultOcxName22" w:shapeid="_x0000_i1194"/>
        </w:object>
      </w:r>
      <w:r w:rsidRPr="00B662CC">
        <w:rPr>
          <w:rFonts w:ascii="宋体" w:eastAsia="宋体" w:hAnsi="宋体" w:cs="宋体" w:hint="eastAsia"/>
          <w:kern w:val="0"/>
          <w:sz w:val="32"/>
          <w:szCs w:val="32"/>
        </w:rPr>
        <w:t>C、转账借方传票</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193" type="#_x0000_t75" style="width:20.25pt;height:15.75pt" o:ole="">
            <v:imagedata r:id="rId6" o:title=""/>
          </v:shape>
          <w:control r:id="rId29" w:name="DefaultOcxName23" w:shapeid="_x0000_i1193"/>
        </w:object>
      </w:r>
      <w:r w:rsidRPr="00B662CC">
        <w:rPr>
          <w:rFonts w:ascii="宋体" w:eastAsia="宋体" w:hAnsi="宋体" w:cs="宋体" w:hint="eastAsia"/>
          <w:kern w:val="0"/>
          <w:sz w:val="32"/>
          <w:szCs w:val="32"/>
        </w:rPr>
        <w:t>D、转账贷方传票</w:t>
      </w:r>
    </w:p>
    <w:p w:rsidR="00B662CC" w:rsidRPr="00B662CC" w:rsidRDefault="00B662CC" w:rsidP="00B662CC">
      <w:pPr>
        <w:widowControl/>
        <w:shd w:val="clear" w:color="auto" w:fill="EEF3F9"/>
        <w:jc w:val="left"/>
        <w:rPr>
          <w:rFonts w:ascii="宋体" w:eastAsia="宋体" w:hAnsi="宋体" w:cs="宋体" w:hint="eastAsia"/>
          <w:kern w:val="0"/>
          <w:sz w:val="45"/>
          <w:szCs w:val="45"/>
        </w:rPr>
      </w:pPr>
      <w:r w:rsidRPr="00B662CC">
        <w:rPr>
          <w:rFonts w:ascii="宋体" w:eastAsia="宋体" w:hAnsi="宋体" w:cs="宋体"/>
          <w:kern w:val="0"/>
          <w:sz w:val="45"/>
          <w:szCs w:val="45"/>
        </w:rPr>
        <w:lastRenderedPageBreak/>
        <w:t>多选题(共6题,共30分)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22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借贷记账法主要内容包括：</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92" type="#_x0000_t75" style="width:20.25pt;height:15.75pt" o:ole="">
                  <v:imagedata r:id="rId30" o:title=""/>
                </v:shape>
                <w:control r:id="rId31" w:name="DefaultOcxName24" w:shapeid="_x0000_i1192"/>
              </w:object>
            </w:r>
            <w:r w:rsidRPr="00B662CC">
              <w:rPr>
                <w:rFonts w:ascii="宋体" w:eastAsia="宋体" w:hAnsi="宋体" w:cs="宋体"/>
                <w:kern w:val="0"/>
                <w:sz w:val="18"/>
                <w:szCs w:val="18"/>
              </w:rPr>
              <w:t>A、记账符号</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91" type="#_x0000_t75" style="width:20.25pt;height:15.75pt" o:ole="">
                  <v:imagedata r:id="rId30" o:title=""/>
                </v:shape>
                <w:control r:id="rId32" w:name="DefaultOcxName25" w:shapeid="_x0000_i1191"/>
              </w:object>
            </w:r>
            <w:r w:rsidRPr="00B662CC">
              <w:rPr>
                <w:rFonts w:ascii="宋体" w:eastAsia="宋体" w:hAnsi="宋体" w:cs="宋体"/>
                <w:kern w:val="0"/>
                <w:sz w:val="18"/>
                <w:szCs w:val="18"/>
              </w:rPr>
              <w:t>B、账户设置</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90" type="#_x0000_t75" style="width:20.25pt;height:15.75pt" o:ole="">
                  <v:imagedata r:id="rId30" o:title=""/>
                </v:shape>
                <w:control r:id="rId33" w:name="DefaultOcxName26" w:shapeid="_x0000_i1190"/>
              </w:object>
            </w:r>
            <w:r w:rsidRPr="00B662CC">
              <w:rPr>
                <w:rFonts w:ascii="宋体" w:eastAsia="宋体" w:hAnsi="宋体" w:cs="宋体"/>
                <w:kern w:val="0"/>
                <w:sz w:val="18"/>
                <w:szCs w:val="18"/>
              </w:rPr>
              <w:t>C、记账规则</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9" type="#_x0000_t75" style="width:20.25pt;height:15.75pt" o:ole="">
                  <v:imagedata r:id="rId30" o:title=""/>
                </v:shape>
                <w:control r:id="rId34" w:name="DefaultOcxName27" w:shapeid="_x0000_i1189"/>
              </w:object>
            </w:r>
            <w:r w:rsidRPr="00B662CC">
              <w:rPr>
                <w:rFonts w:ascii="宋体" w:eastAsia="宋体" w:hAnsi="宋体" w:cs="宋体"/>
                <w:kern w:val="0"/>
                <w:sz w:val="18"/>
                <w:szCs w:val="18"/>
              </w:rPr>
              <w:t>D、试算平衡</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261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单位活期存款账户按用途分为：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8" type="#_x0000_t75" style="width:20.25pt;height:15.75pt" o:ole="">
                  <v:imagedata r:id="rId30" o:title=""/>
                </v:shape>
                <w:control r:id="rId35" w:name="DefaultOcxName28" w:shapeid="_x0000_i1188"/>
              </w:object>
            </w:r>
            <w:r w:rsidRPr="00B662CC">
              <w:rPr>
                <w:rFonts w:ascii="宋体" w:eastAsia="宋体" w:hAnsi="宋体" w:cs="宋体"/>
                <w:kern w:val="0"/>
                <w:sz w:val="18"/>
                <w:szCs w:val="18"/>
              </w:rPr>
              <w:t>A、基本存款账户</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7" type="#_x0000_t75" style="width:20.25pt;height:15.75pt" o:ole="">
                  <v:imagedata r:id="rId30" o:title=""/>
                </v:shape>
                <w:control r:id="rId36" w:name="DefaultOcxName29" w:shapeid="_x0000_i1187"/>
              </w:object>
            </w:r>
            <w:r w:rsidRPr="00B662CC">
              <w:rPr>
                <w:rFonts w:ascii="宋体" w:eastAsia="宋体" w:hAnsi="宋体" w:cs="宋体"/>
                <w:kern w:val="0"/>
                <w:sz w:val="18"/>
                <w:szCs w:val="18"/>
              </w:rPr>
              <w:t>B、一般存款账户</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6" type="#_x0000_t75" style="width:20.25pt;height:15.75pt" o:ole="">
                  <v:imagedata r:id="rId30" o:title=""/>
                </v:shape>
                <w:control r:id="rId37" w:name="DefaultOcxName30" w:shapeid="_x0000_i1186"/>
              </w:object>
            </w:r>
            <w:r w:rsidRPr="00B662CC">
              <w:rPr>
                <w:rFonts w:ascii="宋体" w:eastAsia="宋体" w:hAnsi="宋体" w:cs="宋体"/>
                <w:kern w:val="0"/>
                <w:sz w:val="18"/>
                <w:szCs w:val="18"/>
              </w:rPr>
              <w:t>C、临时存款账户</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5" type="#_x0000_t75" style="width:20.25pt;height:15.75pt" o:ole="">
                  <v:imagedata r:id="rId30" o:title=""/>
                </v:shape>
                <w:control r:id="rId38" w:name="DefaultOcxName31" w:shapeid="_x0000_i1185"/>
              </w:object>
            </w:r>
            <w:r w:rsidRPr="00B662CC">
              <w:rPr>
                <w:rFonts w:ascii="宋体" w:eastAsia="宋体" w:hAnsi="宋体" w:cs="宋体"/>
                <w:kern w:val="0"/>
                <w:sz w:val="18"/>
                <w:szCs w:val="18"/>
              </w:rPr>
              <w:t>D、专用存款账户</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2205"/>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手工错账的冲正方法有：</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4" type="#_x0000_t75" style="width:20.25pt;height:15.75pt" o:ole="">
                  <v:imagedata r:id="rId30" o:title=""/>
                </v:shape>
                <w:control r:id="rId39" w:name="DefaultOcxName32" w:shapeid="_x0000_i1184"/>
              </w:object>
            </w:r>
            <w:r w:rsidRPr="00B662CC">
              <w:rPr>
                <w:rFonts w:ascii="宋体" w:eastAsia="宋体" w:hAnsi="宋体" w:cs="宋体"/>
                <w:kern w:val="0"/>
                <w:sz w:val="18"/>
                <w:szCs w:val="18"/>
              </w:rPr>
              <w:t>A、划线更正法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3" type="#_x0000_t75" style="width:20.25pt;height:15.75pt" o:ole="">
                  <v:imagedata r:id="rId30" o:title=""/>
                </v:shape>
                <w:control r:id="rId40" w:name="DefaultOcxName33" w:shapeid="_x0000_i1183"/>
              </w:object>
            </w:r>
            <w:r w:rsidRPr="00B662CC">
              <w:rPr>
                <w:rFonts w:ascii="宋体" w:eastAsia="宋体" w:hAnsi="宋体" w:cs="宋体"/>
                <w:kern w:val="0"/>
                <w:sz w:val="18"/>
                <w:szCs w:val="18"/>
              </w:rPr>
              <w:t>B、红蓝字更正法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2" type="#_x0000_t75" style="width:20.25pt;height:15.75pt" o:ole="">
                  <v:imagedata r:id="rId30" o:title=""/>
                </v:shape>
                <w:control r:id="rId41" w:name="DefaultOcxName34" w:shapeid="_x0000_i1182"/>
              </w:object>
            </w:r>
            <w:r w:rsidRPr="00B662CC">
              <w:rPr>
                <w:rFonts w:ascii="宋体" w:eastAsia="宋体" w:hAnsi="宋体" w:cs="宋体"/>
                <w:kern w:val="0"/>
                <w:sz w:val="18"/>
                <w:szCs w:val="18"/>
              </w:rPr>
              <w:t>C、蓝字反方向更正法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1" type="#_x0000_t75" style="width:20.25pt;height:15.75pt" o:ole="">
                  <v:imagedata r:id="rId42" o:title=""/>
                </v:shape>
                <w:control r:id="rId43" w:name="DefaultOcxName35" w:shapeid="_x0000_i1181"/>
              </w:object>
            </w:r>
            <w:r w:rsidRPr="00B662CC">
              <w:rPr>
                <w:rFonts w:ascii="宋体" w:eastAsia="宋体" w:hAnsi="宋体" w:cs="宋体"/>
                <w:kern w:val="0"/>
                <w:sz w:val="18"/>
                <w:szCs w:val="18"/>
              </w:rPr>
              <w:t>D、涂改法</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40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t>反映企业在某一时点上的财务状况的会计要素为：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80" type="#_x0000_t75" style="width:20.25pt;height:15.75pt" o:ole="">
                  <v:imagedata r:id="rId30" o:title=""/>
                </v:shape>
                <w:control r:id="rId44" w:name="DefaultOcxName36" w:shapeid="_x0000_i1180"/>
              </w:object>
            </w:r>
            <w:r w:rsidRPr="00B662CC">
              <w:rPr>
                <w:rFonts w:ascii="宋体" w:eastAsia="宋体" w:hAnsi="宋体" w:cs="宋体"/>
                <w:kern w:val="0"/>
                <w:sz w:val="18"/>
                <w:szCs w:val="18"/>
              </w:rPr>
              <w:t>A、资产</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9" type="#_x0000_t75" style="width:20.25pt;height:15.75pt" o:ole="">
                  <v:imagedata r:id="rId30" o:title=""/>
                </v:shape>
                <w:control r:id="rId45" w:name="DefaultOcxName37" w:shapeid="_x0000_i1179"/>
              </w:object>
            </w:r>
            <w:r w:rsidRPr="00B662CC">
              <w:rPr>
                <w:rFonts w:ascii="宋体" w:eastAsia="宋体" w:hAnsi="宋体" w:cs="宋体"/>
                <w:kern w:val="0"/>
                <w:sz w:val="18"/>
                <w:szCs w:val="18"/>
              </w:rPr>
              <w:t>B、负债</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8" type="#_x0000_t75" style="width:20.25pt;height:15.75pt" o:ole="">
                  <v:imagedata r:id="rId30" o:title=""/>
                </v:shape>
                <w:control r:id="rId46" w:name="DefaultOcxName38" w:shapeid="_x0000_i1178"/>
              </w:object>
            </w:r>
            <w:r w:rsidRPr="00B662CC">
              <w:rPr>
                <w:rFonts w:ascii="宋体" w:eastAsia="宋体" w:hAnsi="宋体" w:cs="宋体"/>
                <w:kern w:val="0"/>
                <w:sz w:val="18"/>
                <w:szCs w:val="18"/>
              </w:rPr>
              <w:t>C、所有者权益</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7" type="#_x0000_t75" style="width:20.25pt;height:15.75pt" o:ole="">
                  <v:imagedata r:id="rId42" o:title=""/>
                </v:shape>
                <w:control r:id="rId47" w:name="DefaultOcxName39" w:shapeid="_x0000_i1177"/>
              </w:object>
            </w:r>
            <w:r w:rsidRPr="00B662CC">
              <w:rPr>
                <w:rFonts w:ascii="宋体" w:eastAsia="宋体" w:hAnsi="宋体" w:cs="宋体"/>
                <w:kern w:val="0"/>
                <w:sz w:val="18"/>
                <w:szCs w:val="18"/>
              </w:rPr>
              <w:t>D、利润</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31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银行会计凭证按格式和使用范围分为：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6" type="#_x0000_t75" style="width:20.25pt;height:15.75pt" o:ole="">
                  <v:imagedata r:id="rId30" o:title=""/>
                </v:shape>
                <w:control r:id="rId48" w:name="DefaultOcxName40" w:shapeid="_x0000_i1176"/>
              </w:object>
            </w:r>
            <w:r w:rsidRPr="00B662CC">
              <w:rPr>
                <w:rFonts w:ascii="宋体" w:eastAsia="宋体" w:hAnsi="宋体" w:cs="宋体"/>
                <w:kern w:val="0"/>
                <w:sz w:val="18"/>
                <w:szCs w:val="18"/>
              </w:rPr>
              <w:t>A、基本凭证</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5" type="#_x0000_t75" style="width:20.25pt;height:15.75pt" o:ole="">
                  <v:imagedata r:id="rId42" o:title=""/>
                </v:shape>
                <w:control r:id="rId49" w:name="DefaultOcxName41" w:shapeid="_x0000_i1175"/>
              </w:object>
            </w:r>
            <w:r w:rsidRPr="00B662CC">
              <w:rPr>
                <w:rFonts w:ascii="宋体" w:eastAsia="宋体" w:hAnsi="宋体" w:cs="宋体"/>
                <w:kern w:val="0"/>
                <w:sz w:val="18"/>
                <w:szCs w:val="18"/>
              </w:rPr>
              <w:t>B、收入凭证</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4" type="#_x0000_t75" style="width:20.25pt;height:15.75pt" o:ole="">
                  <v:imagedata r:id="rId42" o:title=""/>
                </v:shape>
                <w:control r:id="rId50" w:name="DefaultOcxName42" w:shapeid="_x0000_i1174"/>
              </w:object>
            </w:r>
            <w:r w:rsidRPr="00B662CC">
              <w:rPr>
                <w:rFonts w:ascii="宋体" w:eastAsia="宋体" w:hAnsi="宋体" w:cs="宋体"/>
                <w:kern w:val="0"/>
                <w:sz w:val="18"/>
                <w:szCs w:val="18"/>
              </w:rPr>
              <w:t>C、转账凭证</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3" type="#_x0000_t75" style="width:20.25pt;height:15.75pt" o:ole="">
                  <v:imagedata r:id="rId30" o:title=""/>
                </v:shape>
                <w:control r:id="rId51" w:name="DefaultOcxName43" w:shapeid="_x0000_i1173"/>
              </w:object>
            </w:r>
            <w:r w:rsidRPr="00B662CC">
              <w:rPr>
                <w:rFonts w:ascii="宋体" w:eastAsia="宋体" w:hAnsi="宋体" w:cs="宋体"/>
                <w:kern w:val="0"/>
                <w:sz w:val="18"/>
                <w:szCs w:val="18"/>
              </w:rPr>
              <w:t>D、特定凭证</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22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单位活期存款的结息日为：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2" type="#_x0000_t75" style="width:20.25pt;height:15.75pt" o:ole="">
                  <v:imagedata r:id="rId30" o:title=""/>
                </v:shape>
                <w:control r:id="rId52" w:name="DefaultOcxName44" w:shapeid="_x0000_i1172"/>
              </w:object>
            </w:r>
            <w:r w:rsidRPr="00B662CC">
              <w:rPr>
                <w:rFonts w:ascii="宋体" w:eastAsia="宋体" w:hAnsi="宋体" w:cs="宋体"/>
                <w:kern w:val="0"/>
                <w:sz w:val="18"/>
                <w:szCs w:val="18"/>
              </w:rPr>
              <w:t>A、3月20日</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1" type="#_x0000_t75" style="width:20.25pt;height:15.75pt" o:ole="">
                  <v:imagedata r:id="rId30" o:title=""/>
                </v:shape>
                <w:control r:id="rId53" w:name="DefaultOcxName45" w:shapeid="_x0000_i1171"/>
              </w:object>
            </w:r>
            <w:r w:rsidRPr="00B662CC">
              <w:rPr>
                <w:rFonts w:ascii="宋体" w:eastAsia="宋体" w:hAnsi="宋体" w:cs="宋体"/>
                <w:kern w:val="0"/>
                <w:sz w:val="18"/>
                <w:szCs w:val="18"/>
              </w:rPr>
              <w:t>B、6月20日</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70" type="#_x0000_t75" style="width:20.25pt;height:15.75pt" o:ole="">
                  <v:imagedata r:id="rId30" o:title=""/>
                </v:shape>
                <w:control r:id="rId54" w:name="DefaultOcxName46" w:shapeid="_x0000_i1170"/>
              </w:object>
            </w:r>
            <w:r w:rsidRPr="00B662CC">
              <w:rPr>
                <w:rFonts w:ascii="宋体" w:eastAsia="宋体" w:hAnsi="宋体" w:cs="宋体"/>
                <w:kern w:val="0"/>
                <w:sz w:val="18"/>
                <w:szCs w:val="18"/>
              </w:rPr>
              <w:t>C、9月20日</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9" type="#_x0000_t75" style="width:20.25pt;height:15.75pt" o:ole="">
                  <v:imagedata r:id="rId30" o:title=""/>
                </v:shape>
                <w:control r:id="rId55" w:name="DefaultOcxName47" w:shapeid="_x0000_i1169"/>
              </w:object>
            </w:r>
            <w:r w:rsidRPr="00B662CC">
              <w:rPr>
                <w:rFonts w:ascii="宋体" w:eastAsia="宋体" w:hAnsi="宋体" w:cs="宋体"/>
                <w:kern w:val="0"/>
                <w:sz w:val="18"/>
                <w:szCs w:val="18"/>
              </w:rPr>
              <w:t>D、12月20日</w:t>
            </w:r>
          </w:p>
        </w:tc>
      </w:tr>
    </w:tbl>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t>判断题(共8题,共40分)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40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零存整取定期储蓄存款的特点是期限长、利率高。</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object w:dxaOrig="1440" w:dyaOrig="1440">
                <v:shape id="_x0000_i1168" type="#_x0000_t75" style="width:20.25pt;height:15.75pt" o:ole="">
                  <v:imagedata r:id="rId6" o:title=""/>
                </v:shape>
                <w:control r:id="rId56" w:name="DefaultOcxName48" w:shapeid="_x0000_i1168"/>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7" type="#_x0000_t75" style="width:20.25pt;height:15.75pt" o:ole="">
                  <v:imagedata r:id="rId4" o:title=""/>
                </v:shape>
                <w:control r:id="rId57" w:name="DefaultOcxName49" w:shapeid="_x0000_i1167"/>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333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所有者权益类科目余额一般反映在贷方。</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6" type="#_x0000_t75" style="width:20.25pt;height:15.75pt" o:ole="">
                  <v:imagedata r:id="rId4" o:title=""/>
                </v:shape>
                <w:control r:id="rId58" w:name="DefaultOcxName50" w:shapeid="_x0000_i1166"/>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5" type="#_x0000_t75" style="width:20.25pt;height:15.75pt" o:ole="">
                  <v:imagedata r:id="rId6" o:title=""/>
                </v:shape>
                <w:control r:id="rId59" w:name="DefaultOcxName51" w:shapeid="_x0000_i1165"/>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441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活期存款的计息方法包括账页计息法和余额表计息法。</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4" type="#_x0000_t75" style="width:20.25pt;height:15.75pt" o:ole="">
                  <v:imagedata r:id="rId4" o:title=""/>
                </v:shape>
                <w:control r:id="rId60" w:name="DefaultOcxName52" w:shapeid="_x0000_i1164"/>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3" type="#_x0000_t75" style="width:20.25pt;height:15.75pt" o:ole="">
                  <v:imagedata r:id="rId6" o:title=""/>
                </v:shape>
                <w:control r:id="rId61" w:name="DefaultOcxName53" w:shapeid="_x0000_i1163"/>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630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填制会计凭证时人民币小写金额前面应注明人民币符号“¥”，数字不得连写。</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2" type="#_x0000_t75" style="width:20.25pt;height:15.75pt" o:ole="">
                  <v:imagedata r:id="rId4" o:title=""/>
                </v:shape>
                <w:control r:id="rId62" w:name="DefaultOcxName54" w:shapeid="_x0000_i1162"/>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1" type="#_x0000_t75" style="width:20.25pt;height:15.75pt" o:ole="">
                  <v:imagedata r:id="rId6" o:title=""/>
                </v:shape>
                <w:control r:id="rId63" w:name="DefaultOcxName55" w:shapeid="_x0000_i1161"/>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603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银行会计科目的名称代号及核算内容可根据各管辖分行业务需要自行制定。</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60" type="#_x0000_t75" style="width:20.25pt;height:15.75pt" o:ole="">
                  <v:imagedata r:id="rId6" o:title=""/>
                </v:shape>
                <w:control r:id="rId64" w:name="DefaultOcxName56" w:shapeid="_x0000_i1160"/>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59" type="#_x0000_t75" style="width:20.25pt;height:15.75pt" o:ole="">
                  <v:imagedata r:id="rId4" o:title=""/>
                </v:shape>
                <w:control r:id="rId65" w:name="DefaultOcxName57" w:shapeid="_x0000_i1159"/>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729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存款利息一般采用转账方式结计，各项存款利息均要在结息日当日为客户转入本金账户中。</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58" type="#_x0000_t75" style="width:20.25pt;height:15.75pt" o:ole="">
                  <v:imagedata r:id="rId6" o:title=""/>
                </v:shape>
                <w:control r:id="rId66" w:name="DefaultOcxName58" w:shapeid="_x0000_i1158"/>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object w:dxaOrig="1440" w:dyaOrig="1440">
                <v:shape id="_x0000_i1157" type="#_x0000_t75" style="width:20.25pt;height:15.75pt" o:ole="">
                  <v:imagedata r:id="rId4" o:title=""/>
                </v:shape>
                <w:control r:id="rId67" w:name="DefaultOcxName59" w:shapeid="_x0000_i1157"/>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8396"/>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商业银行会计年度是指公历1月1日起至12月31日止，如遇12月31日为节假日，则决算日顺延至次年的第一个工作日。</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56" type="#_x0000_t75" style="width:20.25pt;height:15.75pt" o:ole="">
                  <v:imagedata r:id="rId6" o:title=""/>
                </v:shape>
                <w:control r:id="rId68" w:name="DefaultOcxName60" w:shapeid="_x0000_i1156"/>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55" type="#_x0000_t75" style="width:20.25pt;height:15.75pt" o:ole="">
                  <v:imagedata r:id="rId4" o:title=""/>
                </v:shape>
                <w:control r:id="rId69" w:name="DefaultOcxName61" w:shapeid="_x0000_i1155"/>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8396"/>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通知存款的最低起存金额：单位为50万元，个人为5万元；最低支取金额：单位为10万元，个人为5万元。</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54" type="#_x0000_t75" style="width:20.25pt;height:15.75pt" o:ole="">
                  <v:imagedata r:id="rId4" o:title=""/>
                </v:shape>
                <w:control r:id="rId70" w:name="DefaultOcxName62" w:shapeid="_x0000_i1154"/>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153" type="#_x0000_t75" style="width:20.25pt;height:15.75pt" o:ole="">
                  <v:imagedata r:id="rId6" o:title=""/>
                </v:shape>
                <w:control r:id="rId71" w:name="DefaultOcxName63" w:shapeid="_x0000_i1153"/>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center"/>
        <w:rPr>
          <w:rFonts w:ascii="宋体" w:eastAsia="宋体" w:hAnsi="宋体" w:cs="宋体"/>
          <w:kern w:val="0"/>
          <w:sz w:val="54"/>
          <w:szCs w:val="54"/>
        </w:rPr>
      </w:pPr>
      <w:r w:rsidRPr="00B662CC">
        <w:rPr>
          <w:rFonts w:ascii="宋体" w:eastAsia="宋体" w:hAnsi="宋体" w:cs="宋体"/>
          <w:kern w:val="0"/>
          <w:sz w:val="54"/>
          <w:szCs w:val="54"/>
        </w:rPr>
        <w:t>金融企业会计02</w:t>
      </w:r>
    </w:p>
    <w:p w:rsidR="00B662CC" w:rsidRPr="00B662CC" w:rsidRDefault="00B662CC" w:rsidP="00B662CC">
      <w:pPr>
        <w:widowControl/>
        <w:shd w:val="clear" w:color="auto" w:fill="EEF3F9"/>
        <w:jc w:val="center"/>
        <w:rPr>
          <w:rFonts w:ascii="宋体" w:eastAsia="宋体" w:hAnsi="宋体" w:cs="宋体"/>
          <w:kern w:val="0"/>
          <w:sz w:val="32"/>
          <w:szCs w:val="32"/>
        </w:rPr>
      </w:pPr>
      <w:r w:rsidRPr="00B662CC">
        <w:rPr>
          <w:rFonts w:ascii="宋体" w:eastAsia="宋体" w:hAnsi="宋体" w:cs="宋体"/>
          <w:kern w:val="0"/>
          <w:sz w:val="32"/>
          <w:szCs w:val="32"/>
        </w:rPr>
        <w:t>试卷总分：100</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br/>
      </w:r>
      <w:r w:rsidRPr="00B662CC">
        <w:rPr>
          <w:rFonts w:ascii="宋体" w:eastAsia="宋体" w:hAnsi="宋体" w:cs="宋体"/>
          <w:kern w:val="0"/>
          <w:sz w:val="45"/>
          <w:szCs w:val="45"/>
        </w:rPr>
        <w:br/>
        <w:t>1</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t>单选题(共6题,共30分)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某银行购入溢价发行的企业债券面值50万元，每百元面额支付105元，债券期限5年，票面利率3.9%，每年末计算应收利息19500元，转入投资收益账户为：</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lastRenderedPageBreak/>
        <w:object w:dxaOrig="1440" w:dyaOrig="1440">
          <v:shape id="_x0000_i1410" type="#_x0000_t75" style="width:20.25pt;height:15.75pt" o:ole="">
            <v:imagedata r:id="rId4" o:title=""/>
          </v:shape>
          <w:control r:id="rId72" w:name="DefaultOcxName65" w:shapeid="_x0000_i1410"/>
        </w:object>
      </w:r>
      <w:r w:rsidRPr="00B662CC">
        <w:rPr>
          <w:rFonts w:ascii="宋体" w:eastAsia="宋体" w:hAnsi="宋体" w:cs="宋体" w:hint="eastAsia"/>
          <w:kern w:val="0"/>
          <w:sz w:val="32"/>
          <w:szCs w:val="32"/>
        </w:rPr>
        <w:t>A、14500元</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9" type="#_x0000_t75" style="width:20.25pt;height:15.75pt" o:ole="">
            <v:imagedata r:id="rId6" o:title=""/>
          </v:shape>
          <w:control r:id="rId73" w:name="DefaultOcxName110" w:shapeid="_x0000_i1409"/>
        </w:object>
      </w:r>
      <w:r w:rsidRPr="00B662CC">
        <w:rPr>
          <w:rFonts w:ascii="宋体" w:eastAsia="宋体" w:hAnsi="宋体" w:cs="宋体" w:hint="eastAsia"/>
          <w:kern w:val="0"/>
          <w:sz w:val="32"/>
          <w:szCs w:val="32"/>
        </w:rPr>
        <w:t>B、19500元</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8" type="#_x0000_t75" style="width:20.25pt;height:15.75pt" o:ole="">
            <v:imagedata r:id="rId6" o:title=""/>
          </v:shape>
          <w:control r:id="rId74" w:name="DefaultOcxName210" w:shapeid="_x0000_i1408"/>
        </w:object>
      </w:r>
      <w:r w:rsidRPr="00B662CC">
        <w:rPr>
          <w:rFonts w:ascii="宋体" w:eastAsia="宋体" w:hAnsi="宋体" w:cs="宋体" w:hint="eastAsia"/>
          <w:kern w:val="0"/>
          <w:sz w:val="32"/>
          <w:szCs w:val="32"/>
        </w:rPr>
        <w:t>C、24500元</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7" type="#_x0000_t75" style="width:20.25pt;height:15.75pt" o:ole="">
            <v:imagedata r:id="rId6" o:title=""/>
          </v:shape>
          <w:control r:id="rId75" w:name="DefaultOcxName310" w:shapeid="_x0000_i1407"/>
        </w:object>
      </w:r>
      <w:r w:rsidRPr="00B662CC">
        <w:rPr>
          <w:rFonts w:ascii="宋体" w:eastAsia="宋体" w:hAnsi="宋体" w:cs="宋体" w:hint="eastAsia"/>
          <w:kern w:val="0"/>
          <w:sz w:val="32"/>
          <w:szCs w:val="32"/>
        </w:rPr>
        <w:t>D、19000元</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2.(5分)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商业汇票的付款期限最长不超过：</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6" type="#_x0000_t75" style="width:20.25pt;height:15.75pt" o:ole="">
            <v:imagedata r:id="rId6" o:title=""/>
          </v:shape>
          <w:control r:id="rId76" w:name="DefaultOcxName410" w:shapeid="_x0000_i1406"/>
        </w:object>
      </w:r>
      <w:r w:rsidRPr="00B662CC">
        <w:rPr>
          <w:rFonts w:ascii="宋体" w:eastAsia="宋体" w:hAnsi="宋体" w:cs="宋体" w:hint="eastAsia"/>
          <w:kern w:val="0"/>
          <w:sz w:val="32"/>
          <w:szCs w:val="32"/>
        </w:rPr>
        <w:t>A、1年</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5" type="#_x0000_t75" style="width:20.25pt;height:15.75pt" o:ole="">
            <v:imagedata r:id="rId6" o:title=""/>
          </v:shape>
          <w:control r:id="rId77" w:name="DefaultOcxName510" w:shapeid="_x0000_i1405"/>
        </w:object>
      </w:r>
      <w:r w:rsidRPr="00B662CC">
        <w:rPr>
          <w:rFonts w:ascii="宋体" w:eastAsia="宋体" w:hAnsi="宋体" w:cs="宋体" w:hint="eastAsia"/>
          <w:kern w:val="0"/>
          <w:sz w:val="32"/>
          <w:szCs w:val="32"/>
        </w:rPr>
        <w:t>B、8个月</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4" type="#_x0000_t75" style="width:20.25pt;height:15.75pt" o:ole="">
            <v:imagedata r:id="rId6" o:title=""/>
          </v:shape>
          <w:control r:id="rId78" w:name="DefaultOcxName64" w:shapeid="_x0000_i1404"/>
        </w:object>
      </w:r>
      <w:r w:rsidRPr="00B662CC">
        <w:rPr>
          <w:rFonts w:ascii="宋体" w:eastAsia="宋体" w:hAnsi="宋体" w:cs="宋体" w:hint="eastAsia"/>
          <w:kern w:val="0"/>
          <w:sz w:val="32"/>
          <w:szCs w:val="32"/>
        </w:rPr>
        <w:t>C、3个月</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3" type="#_x0000_t75" style="width:20.25pt;height:15.75pt" o:ole="">
            <v:imagedata r:id="rId4" o:title=""/>
          </v:shape>
          <w:control r:id="rId79" w:name="DefaultOcxName71" w:shapeid="_x0000_i1403"/>
        </w:object>
      </w:r>
      <w:r w:rsidRPr="00B662CC">
        <w:rPr>
          <w:rFonts w:ascii="宋体" w:eastAsia="宋体" w:hAnsi="宋体" w:cs="宋体" w:hint="eastAsia"/>
          <w:kern w:val="0"/>
          <w:sz w:val="32"/>
          <w:szCs w:val="32"/>
        </w:rPr>
        <w:t>D、6个月</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3.(5分)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短期投资的价值以取得投资时的实际购入成本入账，包括：</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2" type="#_x0000_t75" style="width:20.25pt;height:15.75pt" o:ole="">
            <v:imagedata r:id="rId6" o:title=""/>
          </v:shape>
          <w:control r:id="rId80" w:name="DefaultOcxName81" w:shapeid="_x0000_i1402"/>
        </w:object>
      </w:r>
      <w:r w:rsidRPr="00B662CC">
        <w:rPr>
          <w:rFonts w:ascii="宋体" w:eastAsia="宋体" w:hAnsi="宋体" w:cs="宋体" w:hint="eastAsia"/>
          <w:kern w:val="0"/>
          <w:sz w:val="32"/>
          <w:szCs w:val="32"/>
        </w:rPr>
        <w:t>A、买价、应收利息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1" type="#_x0000_t75" style="width:20.25pt;height:15.75pt" o:ole="">
            <v:imagedata r:id="rId6" o:title=""/>
          </v:shape>
          <w:control r:id="rId81" w:name="DefaultOcxName91" w:shapeid="_x0000_i1401"/>
        </w:object>
      </w:r>
      <w:r w:rsidRPr="00B662CC">
        <w:rPr>
          <w:rFonts w:ascii="宋体" w:eastAsia="宋体" w:hAnsi="宋体" w:cs="宋体" w:hint="eastAsia"/>
          <w:kern w:val="0"/>
          <w:sz w:val="32"/>
          <w:szCs w:val="32"/>
        </w:rPr>
        <w:t>B、市场价、应计利息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400" type="#_x0000_t75" style="width:20.25pt;height:15.75pt" o:ole="">
            <v:imagedata r:id="rId4" o:title=""/>
          </v:shape>
          <w:control r:id="rId82" w:name="DefaultOcxName101" w:shapeid="_x0000_i1400"/>
        </w:object>
      </w:r>
      <w:r w:rsidRPr="00B662CC">
        <w:rPr>
          <w:rFonts w:ascii="宋体" w:eastAsia="宋体" w:hAnsi="宋体" w:cs="宋体" w:hint="eastAsia"/>
          <w:kern w:val="0"/>
          <w:sz w:val="32"/>
          <w:szCs w:val="32"/>
        </w:rPr>
        <w:t>C、买价、经纪人佣金、手续费</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9" type="#_x0000_t75" style="width:20.25pt;height:15.75pt" o:ole="">
            <v:imagedata r:id="rId6" o:title=""/>
          </v:shape>
          <w:control r:id="rId83" w:name="DefaultOcxName111" w:shapeid="_x0000_i1399"/>
        </w:object>
      </w:r>
      <w:r w:rsidRPr="00B662CC">
        <w:rPr>
          <w:rFonts w:ascii="宋体" w:eastAsia="宋体" w:hAnsi="宋体" w:cs="宋体" w:hint="eastAsia"/>
          <w:kern w:val="0"/>
          <w:sz w:val="32"/>
          <w:szCs w:val="32"/>
        </w:rPr>
        <w:t>D、票面价、手续费、佣金</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4.(5分)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限额以下的异地跨系统的汇划款项根据银行机构设置的不同可采用的转汇方式不包括：</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8" type="#_x0000_t75" style="width:20.25pt;height:15.75pt" o:ole="">
            <v:imagedata r:id="rId6" o:title=""/>
          </v:shape>
          <w:control r:id="rId84" w:name="DefaultOcxName121" w:shapeid="_x0000_i1398"/>
        </w:object>
      </w:r>
      <w:r w:rsidRPr="00B662CC">
        <w:rPr>
          <w:rFonts w:ascii="宋体" w:eastAsia="宋体" w:hAnsi="宋体" w:cs="宋体" w:hint="eastAsia"/>
          <w:kern w:val="0"/>
          <w:sz w:val="32"/>
          <w:szCs w:val="32"/>
        </w:rPr>
        <w:t>A、“先横后直”</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7" type="#_x0000_t75" style="width:20.25pt;height:15.75pt" o:ole="">
            <v:imagedata r:id="rId4" o:title=""/>
          </v:shape>
          <w:control r:id="rId85" w:name="DefaultOcxName131" w:shapeid="_x0000_i1397"/>
        </w:object>
      </w:r>
      <w:r w:rsidRPr="00B662CC">
        <w:rPr>
          <w:rFonts w:ascii="宋体" w:eastAsia="宋体" w:hAnsi="宋体" w:cs="宋体" w:hint="eastAsia"/>
          <w:kern w:val="0"/>
          <w:sz w:val="32"/>
          <w:szCs w:val="32"/>
        </w:rPr>
        <w:t>B、“先横后直再横”</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lastRenderedPageBreak/>
        <w:object w:dxaOrig="1440" w:dyaOrig="1440">
          <v:shape id="_x0000_i1396" type="#_x0000_t75" style="width:20.25pt;height:15.75pt" o:ole="">
            <v:imagedata r:id="rId6" o:title=""/>
          </v:shape>
          <w:control r:id="rId86" w:name="DefaultOcxName141" w:shapeid="_x0000_i1396"/>
        </w:object>
      </w:r>
      <w:r w:rsidRPr="00B662CC">
        <w:rPr>
          <w:rFonts w:ascii="宋体" w:eastAsia="宋体" w:hAnsi="宋体" w:cs="宋体" w:hint="eastAsia"/>
          <w:kern w:val="0"/>
          <w:sz w:val="32"/>
          <w:szCs w:val="32"/>
        </w:rPr>
        <w:t>C、“先直后横”</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5" type="#_x0000_t75" style="width:20.25pt;height:15.75pt" o:ole="">
            <v:imagedata r:id="rId6" o:title=""/>
          </v:shape>
          <w:control r:id="rId87" w:name="DefaultOcxName151" w:shapeid="_x0000_i1395"/>
        </w:object>
      </w:r>
      <w:r w:rsidRPr="00B662CC">
        <w:rPr>
          <w:rFonts w:ascii="宋体" w:eastAsia="宋体" w:hAnsi="宋体" w:cs="宋体" w:hint="eastAsia"/>
          <w:kern w:val="0"/>
          <w:sz w:val="32"/>
          <w:szCs w:val="32"/>
        </w:rPr>
        <w:t>D、“先直后横再直”</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5.(5分)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贷款按发放条件分不包括：</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4" type="#_x0000_t75" style="width:20.25pt;height:15.75pt" o:ole="">
            <v:imagedata r:id="rId6" o:title=""/>
          </v:shape>
          <w:control r:id="rId88" w:name="DefaultOcxName161" w:shapeid="_x0000_i1394"/>
        </w:object>
      </w:r>
      <w:r w:rsidRPr="00B662CC">
        <w:rPr>
          <w:rFonts w:ascii="宋体" w:eastAsia="宋体" w:hAnsi="宋体" w:cs="宋体" w:hint="eastAsia"/>
          <w:kern w:val="0"/>
          <w:sz w:val="32"/>
          <w:szCs w:val="32"/>
        </w:rPr>
        <w:t>A、信用贷款</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3" type="#_x0000_t75" style="width:20.25pt;height:15.75pt" o:ole="">
            <v:imagedata r:id="rId6" o:title=""/>
          </v:shape>
          <w:control r:id="rId89" w:name="DefaultOcxName171" w:shapeid="_x0000_i1393"/>
        </w:object>
      </w:r>
      <w:r w:rsidRPr="00B662CC">
        <w:rPr>
          <w:rFonts w:ascii="宋体" w:eastAsia="宋体" w:hAnsi="宋体" w:cs="宋体" w:hint="eastAsia"/>
          <w:kern w:val="0"/>
          <w:sz w:val="32"/>
          <w:szCs w:val="32"/>
        </w:rPr>
        <w:t>B、担保贷款</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2" type="#_x0000_t75" style="width:20.25pt;height:15.75pt" o:ole="">
            <v:imagedata r:id="rId6" o:title=""/>
          </v:shape>
          <w:control r:id="rId90" w:name="DefaultOcxName181" w:shapeid="_x0000_i1392"/>
        </w:object>
      </w:r>
      <w:r w:rsidRPr="00B662CC">
        <w:rPr>
          <w:rFonts w:ascii="宋体" w:eastAsia="宋体" w:hAnsi="宋体" w:cs="宋体" w:hint="eastAsia"/>
          <w:kern w:val="0"/>
          <w:sz w:val="32"/>
          <w:szCs w:val="32"/>
        </w:rPr>
        <w:t>C、票据贴现</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1" type="#_x0000_t75" style="width:20.25pt;height:15.75pt" o:ole="">
            <v:imagedata r:id="rId4" o:title=""/>
          </v:shape>
          <w:control r:id="rId91" w:name="DefaultOcxName191" w:shapeid="_x0000_i1391"/>
        </w:object>
      </w:r>
      <w:r w:rsidRPr="00B662CC">
        <w:rPr>
          <w:rFonts w:ascii="宋体" w:eastAsia="宋体" w:hAnsi="宋体" w:cs="宋体" w:hint="eastAsia"/>
          <w:kern w:val="0"/>
          <w:sz w:val="32"/>
          <w:szCs w:val="32"/>
        </w:rPr>
        <w:t>D、商业性贷款</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6.(5分)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“电子清算资金往来”科目是资产负债共同类科目，其余额轧差反映，其借贷方发生额是：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90" type="#_x0000_t75" style="width:20.25pt;height:15.75pt" o:ole="">
            <v:imagedata r:id="rId6" o:title=""/>
          </v:shape>
          <w:control r:id="rId92" w:name="DefaultOcxName201" w:shapeid="_x0000_i1390"/>
        </w:object>
      </w:r>
      <w:r w:rsidRPr="00B662CC">
        <w:rPr>
          <w:rFonts w:ascii="宋体" w:eastAsia="宋体" w:hAnsi="宋体" w:cs="宋体" w:hint="eastAsia"/>
          <w:kern w:val="0"/>
          <w:sz w:val="32"/>
          <w:szCs w:val="32"/>
        </w:rPr>
        <w:t>A、将电子联行往、来账科目的发生额逐笔转入</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89" type="#_x0000_t75" style="width:20.25pt;height:15.75pt" o:ole="">
            <v:imagedata r:id="rId6" o:title=""/>
          </v:shape>
          <w:control r:id="rId93" w:name="DefaultOcxName211" w:shapeid="_x0000_i1389"/>
        </w:object>
      </w:r>
      <w:r w:rsidRPr="00B662CC">
        <w:rPr>
          <w:rFonts w:ascii="宋体" w:eastAsia="宋体" w:hAnsi="宋体" w:cs="宋体" w:hint="eastAsia"/>
          <w:kern w:val="0"/>
          <w:sz w:val="32"/>
          <w:szCs w:val="32"/>
        </w:rPr>
        <w:t>B、将电子联行往账余额转入</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88" type="#_x0000_t75" style="width:20.25pt;height:15.75pt" o:ole="">
            <v:imagedata r:id="rId6" o:title=""/>
          </v:shape>
          <w:control r:id="rId94" w:name="DefaultOcxName221" w:shapeid="_x0000_i1388"/>
        </w:object>
      </w:r>
      <w:r w:rsidRPr="00B662CC">
        <w:rPr>
          <w:rFonts w:ascii="宋体" w:eastAsia="宋体" w:hAnsi="宋体" w:cs="宋体" w:hint="eastAsia"/>
          <w:kern w:val="0"/>
          <w:sz w:val="32"/>
          <w:szCs w:val="32"/>
        </w:rPr>
        <w:t>C、将电子联行来账余额转入</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387" type="#_x0000_t75" style="width:20.25pt;height:15.75pt" o:ole="">
            <v:imagedata r:id="rId4" o:title=""/>
          </v:shape>
          <w:control r:id="rId95" w:name="DefaultOcxName231" w:shapeid="_x0000_i1387"/>
        </w:object>
      </w:r>
      <w:r w:rsidRPr="00B662CC">
        <w:rPr>
          <w:rFonts w:ascii="宋体" w:eastAsia="宋体" w:hAnsi="宋体" w:cs="宋体" w:hint="eastAsia"/>
          <w:kern w:val="0"/>
          <w:sz w:val="32"/>
          <w:szCs w:val="32"/>
        </w:rPr>
        <w:t>D、将电子联行往来账科目余额转入</w:t>
      </w:r>
    </w:p>
    <w:p w:rsidR="00B662CC" w:rsidRPr="00B662CC" w:rsidRDefault="00B662CC" w:rsidP="00B662CC">
      <w:pPr>
        <w:widowControl/>
        <w:shd w:val="clear" w:color="auto" w:fill="EEF3F9"/>
        <w:jc w:val="left"/>
        <w:rPr>
          <w:rFonts w:ascii="宋体" w:eastAsia="宋体" w:hAnsi="宋体" w:cs="宋体" w:hint="eastAsia"/>
          <w:kern w:val="0"/>
          <w:sz w:val="45"/>
          <w:szCs w:val="45"/>
        </w:rPr>
      </w:pPr>
      <w:r w:rsidRPr="00B662CC">
        <w:rPr>
          <w:rFonts w:ascii="宋体" w:eastAsia="宋体" w:hAnsi="宋体" w:cs="宋体"/>
          <w:kern w:val="0"/>
          <w:sz w:val="45"/>
          <w:szCs w:val="45"/>
        </w:rPr>
        <w:t>多选题(共6题,共30分)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513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不论何种联行核算方法，其处理过程的环节一般都可划分为：：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86" type="#_x0000_t75" style="width:20.25pt;height:15.75pt" o:ole="">
                  <v:imagedata r:id="rId30" o:title=""/>
                </v:shape>
                <w:control r:id="rId96" w:name="DefaultOcxName241" w:shapeid="_x0000_i1386"/>
              </w:object>
            </w:r>
            <w:r w:rsidRPr="00B662CC">
              <w:rPr>
                <w:rFonts w:ascii="宋体" w:eastAsia="宋体" w:hAnsi="宋体" w:cs="宋体"/>
                <w:kern w:val="0"/>
                <w:sz w:val="18"/>
                <w:szCs w:val="18"/>
              </w:rPr>
              <w:t>A、发、收报行日常往来</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85" type="#_x0000_t75" style="width:20.25pt;height:15.75pt" o:ole="">
                  <v:imagedata r:id="rId30" o:title=""/>
                </v:shape>
                <w:control r:id="rId97" w:name="DefaultOcxName251" w:shapeid="_x0000_i1385"/>
              </w:object>
            </w:r>
            <w:r w:rsidRPr="00B662CC">
              <w:rPr>
                <w:rFonts w:ascii="宋体" w:eastAsia="宋体" w:hAnsi="宋体" w:cs="宋体"/>
                <w:kern w:val="0"/>
                <w:sz w:val="18"/>
                <w:szCs w:val="18"/>
              </w:rPr>
              <w:t>B、往来账核对</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84" type="#_x0000_t75" style="width:20.25pt;height:15.75pt" o:ole="">
                  <v:imagedata r:id="rId30" o:title=""/>
                </v:shape>
                <w:control r:id="rId98" w:name="DefaultOcxName261" w:shapeid="_x0000_i1384"/>
              </w:object>
            </w:r>
            <w:r w:rsidRPr="00B662CC">
              <w:rPr>
                <w:rFonts w:ascii="宋体" w:eastAsia="宋体" w:hAnsi="宋体" w:cs="宋体"/>
                <w:kern w:val="0"/>
                <w:sz w:val="18"/>
                <w:szCs w:val="18"/>
              </w:rPr>
              <w:t>C、资金存欠清偿</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object w:dxaOrig="1440" w:dyaOrig="1440">
                <v:shape id="_x0000_i1383" type="#_x0000_t75" style="width:20.25pt;height:15.75pt" o:ole="">
                  <v:imagedata r:id="rId30" o:title=""/>
                </v:shape>
                <w:control r:id="rId99" w:name="DefaultOcxName271" w:shapeid="_x0000_i1383"/>
              </w:object>
            </w:r>
            <w:r w:rsidRPr="00B662CC">
              <w:rPr>
                <w:rFonts w:ascii="宋体" w:eastAsia="宋体" w:hAnsi="宋体" w:cs="宋体"/>
                <w:kern w:val="0"/>
                <w:sz w:val="18"/>
                <w:szCs w:val="18"/>
              </w:rPr>
              <w:t>D、年终结平</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351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下列储蓄会计档案的保管期限为永久的是：</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82" type="#_x0000_t75" style="width:20.25pt;height:15.75pt" o:ole="">
                  <v:imagedata r:id="rId30" o:title=""/>
                </v:shape>
                <w:control r:id="rId100" w:name="DefaultOcxName281" w:shapeid="_x0000_i1382"/>
              </w:object>
            </w:r>
            <w:r w:rsidRPr="00B662CC">
              <w:rPr>
                <w:rFonts w:ascii="宋体" w:eastAsia="宋体" w:hAnsi="宋体" w:cs="宋体"/>
                <w:kern w:val="0"/>
                <w:sz w:val="18"/>
                <w:szCs w:val="18"/>
              </w:rPr>
              <w:t>A、储蓄存款挂失申请书</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81" type="#_x0000_t75" style="width:20.25pt;height:15.75pt" o:ole="">
                  <v:imagedata r:id="rId30" o:title=""/>
                </v:shape>
                <w:control r:id="rId101" w:name="DefaultOcxName291" w:shapeid="_x0000_i1381"/>
              </w:object>
            </w:r>
            <w:r w:rsidRPr="00B662CC">
              <w:rPr>
                <w:rFonts w:ascii="宋体" w:eastAsia="宋体" w:hAnsi="宋体" w:cs="宋体"/>
                <w:kern w:val="0"/>
                <w:sz w:val="18"/>
                <w:szCs w:val="18"/>
              </w:rPr>
              <w:t>B、储户变更支取方式申请书</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80" type="#_x0000_t75" style="width:20.25pt;height:15.75pt" o:ole="">
                  <v:imagedata r:id="rId30" o:title=""/>
                </v:shape>
                <w:control r:id="rId102" w:name="DefaultOcxName301" w:shapeid="_x0000_i1380"/>
              </w:object>
            </w:r>
            <w:r w:rsidRPr="00B662CC">
              <w:rPr>
                <w:rFonts w:ascii="宋体" w:eastAsia="宋体" w:hAnsi="宋体" w:cs="宋体"/>
                <w:kern w:val="0"/>
                <w:sz w:val="18"/>
                <w:szCs w:val="18"/>
              </w:rPr>
              <w:t>C、会计档案销毁清单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9" type="#_x0000_t75" style="width:20.25pt;height:15.75pt" o:ole="">
                  <v:imagedata r:id="rId42" o:title=""/>
                </v:shape>
                <w:control r:id="rId103" w:name="DefaultOcxName311" w:shapeid="_x0000_i1379"/>
              </w:object>
            </w:r>
            <w:r w:rsidRPr="00B662CC">
              <w:rPr>
                <w:rFonts w:ascii="宋体" w:eastAsia="宋体" w:hAnsi="宋体" w:cs="宋体"/>
                <w:kern w:val="0"/>
                <w:sz w:val="18"/>
                <w:szCs w:val="18"/>
              </w:rPr>
              <w:t>D、传票</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1485"/>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票据的功能有：</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8" type="#_x0000_t75" style="width:20.25pt;height:15.75pt" o:ole="">
                  <v:imagedata r:id="rId30" o:title=""/>
                </v:shape>
                <w:control r:id="rId104" w:name="DefaultOcxName321" w:shapeid="_x0000_i1378"/>
              </w:object>
            </w:r>
            <w:r w:rsidRPr="00B662CC">
              <w:rPr>
                <w:rFonts w:ascii="宋体" w:eastAsia="宋体" w:hAnsi="宋体" w:cs="宋体"/>
                <w:kern w:val="0"/>
                <w:sz w:val="18"/>
                <w:szCs w:val="18"/>
              </w:rPr>
              <w:t>A、支付功能</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7" type="#_x0000_t75" style="width:20.25pt;height:15.75pt" o:ole="">
                  <v:imagedata r:id="rId30" o:title=""/>
                </v:shape>
                <w:control r:id="rId105" w:name="DefaultOcxName331" w:shapeid="_x0000_i1377"/>
              </w:object>
            </w:r>
            <w:r w:rsidRPr="00B662CC">
              <w:rPr>
                <w:rFonts w:ascii="宋体" w:eastAsia="宋体" w:hAnsi="宋体" w:cs="宋体"/>
                <w:kern w:val="0"/>
                <w:sz w:val="18"/>
                <w:szCs w:val="18"/>
              </w:rPr>
              <w:t>B、信用功能</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6" type="#_x0000_t75" style="width:20.25pt;height:15.75pt" o:ole="">
                  <v:imagedata r:id="rId30" o:title=""/>
                </v:shape>
                <w:control r:id="rId106" w:name="DefaultOcxName341" w:shapeid="_x0000_i1376"/>
              </w:object>
            </w:r>
            <w:r w:rsidRPr="00B662CC">
              <w:rPr>
                <w:rFonts w:ascii="宋体" w:eastAsia="宋体" w:hAnsi="宋体" w:cs="宋体"/>
                <w:kern w:val="0"/>
                <w:sz w:val="18"/>
                <w:szCs w:val="18"/>
              </w:rPr>
              <w:t>C、结算功能</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5" type="#_x0000_t75" style="width:20.25pt;height:15.75pt" o:ole="">
                  <v:imagedata r:id="rId30" o:title=""/>
                </v:shape>
                <w:control r:id="rId107" w:name="DefaultOcxName351" w:shapeid="_x0000_i1375"/>
              </w:object>
            </w:r>
            <w:r w:rsidRPr="00B662CC">
              <w:rPr>
                <w:rFonts w:ascii="宋体" w:eastAsia="宋体" w:hAnsi="宋体" w:cs="宋体"/>
                <w:kern w:val="0"/>
                <w:sz w:val="18"/>
                <w:szCs w:val="18"/>
              </w:rPr>
              <w:t>D、融资功能</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261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储蓄网点账务的日结工作包括：</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4" type="#_x0000_t75" style="width:20.25pt;height:15.75pt" o:ole="">
                  <v:imagedata r:id="rId30" o:title=""/>
                </v:shape>
                <w:control r:id="rId108" w:name="DefaultOcxName361" w:shapeid="_x0000_i1374"/>
              </w:object>
            </w:r>
            <w:r w:rsidRPr="00B662CC">
              <w:rPr>
                <w:rFonts w:ascii="宋体" w:eastAsia="宋体" w:hAnsi="宋体" w:cs="宋体"/>
                <w:kern w:val="0"/>
                <w:sz w:val="18"/>
                <w:szCs w:val="18"/>
              </w:rPr>
              <w:t>A、储蓄网点的综合核算</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3" type="#_x0000_t75" style="width:20.25pt;height:15.75pt" o:ole="">
                  <v:imagedata r:id="rId42" o:title=""/>
                </v:shape>
                <w:control r:id="rId109" w:name="DefaultOcxName371" w:shapeid="_x0000_i1373"/>
              </w:object>
            </w:r>
            <w:r w:rsidRPr="00B662CC">
              <w:rPr>
                <w:rFonts w:ascii="宋体" w:eastAsia="宋体" w:hAnsi="宋体" w:cs="宋体"/>
                <w:kern w:val="0"/>
                <w:sz w:val="18"/>
                <w:szCs w:val="18"/>
              </w:rPr>
              <w:t>B、事前筹划</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2" type="#_x0000_t75" style="width:20.25pt;height:15.75pt" o:ole="">
                  <v:imagedata r:id="rId30" o:title=""/>
                </v:shape>
                <w:control r:id="rId110" w:name="DefaultOcxName381" w:shapeid="_x0000_i1372"/>
              </w:object>
            </w:r>
            <w:r w:rsidRPr="00B662CC">
              <w:rPr>
                <w:rFonts w:ascii="宋体" w:eastAsia="宋体" w:hAnsi="宋体" w:cs="宋体"/>
                <w:kern w:val="0"/>
                <w:sz w:val="18"/>
                <w:szCs w:val="18"/>
              </w:rPr>
              <w:t>C、管辖单位的综合核算</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71" type="#_x0000_t75" style="width:20.25pt;height:15.75pt" o:ole="">
                  <v:imagedata r:id="rId30" o:title=""/>
                </v:shape>
                <w:control r:id="rId111" w:name="DefaultOcxName391" w:shapeid="_x0000_i1371"/>
              </w:object>
            </w:r>
            <w:r w:rsidRPr="00B662CC">
              <w:rPr>
                <w:rFonts w:ascii="宋体" w:eastAsia="宋体" w:hAnsi="宋体" w:cs="宋体"/>
                <w:kern w:val="0"/>
                <w:sz w:val="18"/>
                <w:szCs w:val="18"/>
              </w:rPr>
              <w:t>D、事后监督</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207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辖内往来的基本做法是：</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object w:dxaOrig="1440" w:dyaOrig="1440">
                <v:shape id="_x0000_i1370" type="#_x0000_t75" style="width:20.25pt;height:15.75pt" o:ole="">
                  <v:imagedata r:id="rId30" o:title=""/>
                </v:shape>
                <w:control r:id="rId112" w:name="DefaultOcxName401" w:shapeid="_x0000_i1370"/>
              </w:object>
            </w:r>
            <w:r w:rsidRPr="00B662CC">
              <w:rPr>
                <w:rFonts w:ascii="宋体" w:eastAsia="宋体" w:hAnsi="宋体" w:cs="宋体"/>
                <w:kern w:val="0"/>
                <w:sz w:val="18"/>
                <w:szCs w:val="18"/>
              </w:rPr>
              <w:t>A、相互往来</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9" type="#_x0000_t75" style="width:20.25pt;height:15.75pt" o:ole="">
                  <v:imagedata r:id="rId30" o:title=""/>
                </v:shape>
                <w:control r:id="rId113" w:name="DefaultOcxName411" w:shapeid="_x0000_i1369"/>
              </w:object>
            </w:r>
            <w:r w:rsidRPr="00B662CC">
              <w:rPr>
                <w:rFonts w:ascii="宋体" w:eastAsia="宋体" w:hAnsi="宋体" w:cs="宋体"/>
                <w:kern w:val="0"/>
                <w:sz w:val="18"/>
                <w:szCs w:val="18"/>
              </w:rPr>
              <w:t>B、及时清算</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8" type="#_x0000_t75" style="width:20.25pt;height:15.75pt" o:ole="">
                  <v:imagedata r:id="rId30" o:title=""/>
                </v:shape>
                <w:control r:id="rId114" w:name="DefaultOcxName421" w:shapeid="_x0000_i1368"/>
              </w:object>
            </w:r>
            <w:r w:rsidRPr="00B662CC">
              <w:rPr>
                <w:rFonts w:ascii="宋体" w:eastAsia="宋体" w:hAnsi="宋体" w:cs="宋体"/>
                <w:kern w:val="0"/>
                <w:sz w:val="18"/>
                <w:szCs w:val="18"/>
              </w:rPr>
              <w:t>C、集中对账</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7" type="#_x0000_t75" style="width:20.25pt;height:15.75pt" o:ole="">
                  <v:imagedata r:id="rId30" o:title=""/>
                </v:shape>
                <w:control r:id="rId115" w:name="DefaultOcxName431" w:shapeid="_x0000_i1367"/>
              </w:object>
            </w:r>
            <w:r w:rsidRPr="00B662CC">
              <w:rPr>
                <w:rFonts w:ascii="宋体" w:eastAsia="宋体" w:hAnsi="宋体" w:cs="宋体"/>
                <w:kern w:val="0"/>
                <w:sz w:val="18"/>
                <w:szCs w:val="18"/>
              </w:rPr>
              <w:t>D、分级管理</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31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外汇存款按存入的资金形态不同分为：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6" type="#_x0000_t75" style="width:20.25pt;height:15.75pt" o:ole="">
                  <v:imagedata r:id="rId30" o:title=""/>
                </v:shape>
                <w:control r:id="rId116" w:name="DefaultOcxName441" w:shapeid="_x0000_i1366"/>
              </w:object>
            </w:r>
            <w:r w:rsidRPr="00B662CC">
              <w:rPr>
                <w:rFonts w:ascii="宋体" w:eastAsia="宋体" w:hAnsi="宋体" w:cs="宋体"/>
                <w:kern w:val="0"/>
                <w:sz w:val="18"/>
                <w:szCs w:val="18"/>
              </w:rPr>
              <w:t>A、现汇户</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5" type="#_x0000_t75" style="width:20.25pt;height:15.75pt" o:ole="">
                  <v:imagedata r:id="rId30" o:title=""/>
                </v:shape>
                <w:control r:id="rId117" w:name="DefaultOcxName451" w:shapeid="_x0000_i1365"/>
              </w:object>
            </w:r>
            <w:r w:rsidRPr="00B662CC">
              <w:rPr>
                <w:rFonts w:ascii="宋体" w:eastAsia="宋体" w:hAnsi="宋体" w:cs="宋体"/>
                <w:kern w:val="0"/>
                <w:sz w:val="18"/>
                <w:szCs w:val="18"/>
              </w:rPr>
              <w:t>B、现钞户</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4" type="#_x0000_t75" style="width:20.25pt;height:15.75pt" o:ole="">
                  <v:imagedata r:id="rId42" o:title=""/>
                </v:shape>
                <w:control r:id="rId118" w:name="DefaultOcxName461" w:shapeid="_x0000_i1364"/>
              </w:object>
            </w:r>
            <w:r w:rsidRPr="00B662CC">
              <w:rPr>
                <w:rFonts w:ascii="宋体" w:eastAsia="宋体" w:hAnsi="宋体" w:cs="宋体"/>
                <w:kern w:val="0"/>
                <w:sz w:val="18"/>
                <w:szCs w:val="18"/>
              </w:rPr>
              <w:t>C、支票户存款</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3" type="#_x0000_t75" style="width:20.25pt;height:15.75pt" o:ole="">
                  <v:imagedata r:id="rId42" o:title=""/>
                </v:shape>
                <w:control r:id="rId119" w:name="DefaultOcxName471" w:shapeid="_x0000_i1363"/>
              </w:object>
            </w:r>
            <w:r w:rsidRPr="00B662CC">
              <w:rPr>
                <w:rFonts w:ascii="宋体" w:eastAsia="宋体" w:hAnsi="宋体" w:cs="宋体"/>
                <w:kern w:val="0"/>
                <w:sz w:val="18"/>
                <w:szCs w:val="18"/>
              </w:rPr>
              <w:t>D、存折户存款</w:t>
            </w:r>
          </w:p>
        </w:tc>
      </w:tr>
    </w:tbl>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t>判断题(共8题,共40分)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549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电子汇划业务的范围包括系统内行际间的异地划收款、划付款业务。</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2" type="#_x0000_t75" style="width:20.25pt;height:15.75pt" o:ole="">
                  <v:imagedata r:id="rId4" o:title=""/>
                </v:shape>
                <w:control r:id="rId120" w:name="DefaultOcxName481" w:shapeid="_x0000_i1362"/>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1" type="#_x0000_t75" style="width:20.25pt;height:15.75pt" o:ole="">
                  <v:imagedata r:id="rId6" o:title=""/>
                </v:shape>
                <w:control r:id="rId121" w:name="DefaultOcxName491" w:shapeid="_x0000_i1361"/>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387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中央银行向商业银行发放的贷款，称为再贷款。</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60" type="#_x0000_t75" style="width:20.25pt;height:15.75pt" o:ole="">
                  <v:imagedata r:id="rId4" o:title=""/>
                </v:shape>
                <w:control r:id="rId122" w:name="DefaultOcxName501" w:shapeid="_x0000_i1360"/>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9" type="#_x0000_t75" style="width:20.25pt;height:15.75pt" o:ole="">
                  <v:imagedata r:id="rId6" o:title=""/>
                </v:shape>
                <w:control r:id="rId123" w:name="DefaultOcxName511" w:shapeid="_x0000_i1359"/>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603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t>贷款种类繁多，为简化程序有的贷款不需要贷款人与借款人签订借款合同。</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8" type="#_x0000_t75" style="width:20.25pt;height:15.75pt" o:ole="">
                  <v:imagedata r:id="rId6" o:title=""/>
                </v:shape>
                <w:control r:id="rId124" w:name="DefaultOcxName521" w:shapeid="_x0000_i1358"/>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7" type="#_x0000_t75" style="width:20.25pt;height:15.75pt" o:ole="">
                  <v:imagedata r:id="rId4" o:title=""/>
                </v:shape>
                <w:control r:id="rId125" w:name="DefaultOcxName531" w:shapeid="_x0000_i1357"/>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58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银行可以根据需要将按揭额以个人购房款的名义分次记入售房单位账户。</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6" type="#_x0000_t75" style="width:20.25pt;height:15.75pt" o:ole="">
                  <v:imagedata r:id="rId6" o:title=""/>
                </v:shape>
                <w:control r:id="rId126" w:name="DefaultOcxName541" w:shapeid="_x0000_i1356"/>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5" type="#_x0000_t75" style="width:20.25pt;height:15.75pt" o:ole="">
                  <v:imagedata r:id="rId4" o:title=""/>
                </v:shape>
                <w:control r:id="rId127" w:name="DefaultOcxName551" w:shapeid="_x0000_i1355"/>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747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借款人在借款合同到期日之前归还借款时，贷款人有权按原贷款合同利率向借款人收取利息。</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4" type="#_x0000_t75" style="width:20.25pt;height:15.75pt" o:ole="">
                  <v:imagedata r:id="rId4" o:title=""/>
                </v:shape>
                <w:control r:id="rId128" w:name="DefaultOcxName561" w:shapeid="_x0000_i1354"/>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3" type="#_x0000_t75" style="width:20.25pt;height:15.75pt" o:ole="">
                  <v:imagedata r:id="rId6" o:title=""/>
                </v:shape>
                <w:control r:id="rId129" w:name="DefaultOcxName571" w:shapeid="_x0000_i1353"/>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423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电子汇划信息采用全自动、全封闭、无纸方式传输。</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2" type="#_x0000_t75" style="width:20.25pt;height:15.75pt" o:ole="">
                  <v:imagedata r:id="rId4" o:title=""/>
                </v:shape>
                <w:control r:id="rId130" w:name="DefaultOcxName581" w:shapeid="_x0000_i1352"/>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1" type="#_x0000_t75" style="width:20.25pt;height:15.75pt" o:ole="">
                  <v:imagedata r:id="rId6" o:title=""/>
                </v:shape>
                <w:control r:id="rId131" w:name="DefaultOcxName591" w:shapeid="_x0000_i1351"/>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67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背书是发生在出票之前，它是持票人所为的行为，是汇票、本票、支票共有的行为。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50" type="#_x0000_t75" style="width:20.25pt;height:15.75pt" o:ole="">
                  <v:imagedata r:id="rId6" o:title=""/>
                </v:shape>
                <w:control r:id="rId132" w:name="DefaultOcxName601" w:shapeid="_x0000_i1350"/>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49" type="#_x0000_t75" style="width:20.25pt;height:15.75pt" o:ole="">
                  <v:imagedata r:id="rId4" o:title=""/>
                </v:shape>
                <w:control r:id="rId133" w:name="DefaultOcxName611" w:shapeid="_x0000_i1349"/>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639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左上角画两条平行线的普通支票称画线支票，它只能用于转账，不能支取现金。</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object w:dxaOrig="1440" w:dyaOrig="1440">
                <v:shape id="_x0000_i1348" type="#_x0000_t75" style="width:20.25pt;height:15.75pt" o:ole="">
                  <v:imagedata r:id="rId4" o:title=""/>
                </v:shape>
                <w:control r:id="rId134" w:name="DefaultOcxName621" w:shapeid="_x0000_i1348"/>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347" type="#_x0000_t75" style="width:20.25pt;height:15.75pt" o:ole="">
                  <v:imagedata r:id="rId6" o:title=""/>
                </v:shape>
                <w:control r:id="rId135" w:name="DefaultOcxName631" w:shapeid="_x0000_i1347"/>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center"/>
        <w:rPr>
          <w:rFonts w:ascii="宋体" w:eastAsia="宋体" w:hAnsi="宋体" w:cs="宋体"/>
          <w:kern w:val="0"/>
          <w:sz w:val="54"/>
          <w:szCs w:val="54"/>
        </w:rPr>
      </w:pPr>
      <w:r w:rsidRPr="00B662CC">
        <w:rPr>
          <w:rFonts w:ascii="宋体" w:eastAsia="宋体" w:hAnsi="宋体" w:cs="宋体"/>
          <w:kern w:val="0"/>
          <w:sz w:val="54"/>
          <w:szCs w:val="54"/>
        </w:rPr>
        <w:t>金融企业会计03</w:t>
      </w:r>
    </w:p>
    <w:p w:rsidR="00B662CC" w:rsidRPr="00B662CC" w:rsidRDefault="00B662CC" w:rsidP="00B662CC">
      <w:pPr>
        <w:widowControl/>
        <w:shd w:val="clear" w:color="auto" w:fill="EEF3F9"/>
        <w:jc w:val="center"/>
        <w:rPr>
          <w:rFonts w:ascii="宋体" w:eastAsia="宋体" w:hAnsi="宋体" w:cs="宋体"/>
          <w:kern w:val="0"/>
          <w:sz w:val="32"/>
          <w:szCs w:val="32"/>
        </w:rPr>
      </w:pPr>
      <w:r w:rsidRPr="00B662CC">
        <w:rPr>
          <w:rFonts w:ascii="宋体" w:eastAsia="宋体" w:hAnsi="宋体" w:cs="宋体"/>
          <w:kern w:val="0"/>
          <w:sz w:val="32"/>
          <w:szCs w:val="32"/>
        </w:rPr>
        <w:t>试卷总分：100</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br/>
      </w:r>
      <w:r w:rsidRPr="00B662CC">
        <w:rPr>
          <w:rFonts w:ascii="宋体" w:eastAsia="宋体" w:hAnsi="宋体" w:cs="宋体"/>
          <w:kern w:val="0"/>
          <w:sz w:val="45"/>
          <w:szCs w:val="45"/>
        </w:rPr>
        <w:br/>
        <w:t>1</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t>单选题(共6题,共30分)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法定盈余公积的提取比例一般为当年实现净利润的：</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604" type="#_x0000_t75" style="width:20.25pt;height:15.75pt" o:ole="">
            <v:imagedata r:id="rId6" o:title=""/>
          </v:shape>
          <w:control r:id="rId136" w:name="DefaultOcxName67" w:shapeid="_x0000_i1604"/>
        </w:object>
      </w:r>
      <w:r w:rsidRPr="00B662CC">
        <w:rPr>
          <w:rFonts w:ascii="宋体" w:eastAsia="宋体" w:hAnsi="宋体" w:cs="宋体" w:hint="eastAsia"/>
          <w:kern w:val="0"/>
          <w:sz w:val="32"/>
          <w:szCs w:val="32"/>
        </w:rPr>
        <w:t>A、3%</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603" type="#_x0000_t75" style="width:20.25pt;height:15.75pt" o:ole="">
            <v:imagedata r:id="rId6" o:title=""/>
          </v:shape>
          <w:control r:id="rId137" w:name="DefaultOcxName113" w:shapeid="_x0000_i1603"/>
        </w:object>
      </w:r>
      <w:r w:rsidRPr="00B662CC">
        <w:rPr>
          <w:rFonts w:ascii="宋体" w:eastAsia="宋体" w:hAnsi="宋体" w:cs="宋体" w:hint="eastAsia"/>
          <w:kern w:val="0"/>
          <w:sz w:val="32"/>
          <w:szCs w:val="32"/>
        </w:rPr>
        <w:t>B、6%</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602" type="#_x0000_t75" style="width:20.25pt;height:15.75pt" o:ole="">
            <v:imagedata r:id="rId6" o:title=""/>
          </v:shape>
          <w:control r:id="rId138" w:name="DefaultOcxName213" w:shapeid="_x0000_i1602"/>
        </w:object>
      </w:r>
      <w:r w:rsidRPr="00B662CC">
        <w:rPr>
          <w:rFonts w:ascii="宋体" w:eastAsia="宋体" w:hAnsi="宋体" w:cs="宋体" w:hint="eastAsia"/>
          <w:kern w:val="0"/>
          <w:sz w:val="32"/>
          <w:szCs w:val="32"/>
        </w:rPr>
        <w:t>C、8%</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601" type="#_x0000_t75" style="width:20.25pt;height:15.75pt" o:ole="">
            <v:imagedata r:id="rId4" o:title=""/>
          </v:shape>
          <w:control r:id="rId139" w:name="DefaultOcxName313" w:shapeid="_x0000_i1601"/>
        </w:object>
      </w:r>
      <w:r w:rsidRPr="00B662CC">
        <w:rPr>
          <w:rFonts w:ascii="宋体" w:eastAsia="宋体" w:hAnsi="宋体" w:cs="宋体" w:hint="eastAsia"/>
          <w:kern w:val="0"/>
          <w:sz w:val="32"/>
          <w:szCs w:val="32"/>
        </w:rPr>
        <w:t>D、10%</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2.(5分)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每个会计年度终了，银行都要将各损益类账户余额全部结转到：</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600" type="#_x0000_t75" style="width:20.25pt;height:15.75pt" o:ole="">
            <v:imagedata r:id="rId6" o:title=""/>
          </v:shape>
          <w:control r:id="rId140" w:name="DefaultOcxName413" w:shapeid="_x0000_i1600"/>
        </w:object>
      </w:r>
      <w:r w:rsidRPr="00B662CC">
        <w:rPr>
          <w:rFonts w:ascii="宋体" w:eastAsia="宋体" w:hAnsi="宋体" w:cs="宋体" w:hint="eastAsia"/>
          <w:kern w:val="0"/>
          <w:sz w:val="32"/>
          <w:szCs w:val="32"/>
        </w:rPr>
        <w:t>A、“利润分配”账户</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9" type="#_x0000_t75" style="width:20.25pt;height:15.75pt" o:ole="">
            <v:imagedata r:id="rId6" o:title=""/>
          </v:shape>
          <w:control r:id="rId141" w:name="DefaultOcxName513" w:shapeid="_x0000_i1599"/>
        </w:object>
      </w:r>
      <w:r w:rsidRPr="00B662CC">
        <w:rPr>
          <w:rFonts w:ascii="宋体" w:eastAsia="宋体" w:hAnsi="宋体" w:cs="宋体" w:hint="eastAsia"/>
          <w:kern w:val="0"/>
          <w:sz w:val="32"/>
          <w:szCs w:val="32"/>
        </w:rPr>
        <w:t>B、“营业收入”账户</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lastRenderedPageBreak/>
        <w:object w:dxaOrig="1440" w:dyaOrig="1440">
          <v:shape id="_x0000_i1598" type="#_x0000_t75" style="width:20.25pt;height:15.75pt" o:ole="">
            <v:imagedata r:id="rId6" o:title=""/>
          </v:shape>
          <w:control r:id="rId142" w:name="DefaultOcxName66" w:shapeid="_x0000_i1598"/>
        </w:object>
      </w:r>
      <w:r w:rsidRPr="00B662CC">
        <w:rPr>
          <w:rFonts w:ascii="宋体" w:eastAsia="宋体" w:hAnsi="宋体" w:cs="宋体" w:hint="eastAsia"/>
          <w:kern w:val="0"/>
          <w:sz w:val="32"/>
          <w:szCs w:val="32"/>
        </w:rPr>
        <w:t>C、“投资收益”账户</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7" type="#_x0000_t75" style="width:20.25pt;height:15.75pt" o:ole="">
            <v:imagedata r:id="rId4" o:title=""/>
          </v:shape>
          <w:control r:id="rId143" w:name="DefaultOcxName72" w:shapeid="_x0000_i1597"/>
        </w:object>
      </w:r>
      <w:r w:rsidRPr="00B662CC">
        <w:rPr>
          <w:rFonts w:ascii="宋体" w:eastAsia="宋体" w:hAnsi="宋体" w:cs="宋体" w:hint="eastAsia"/>
          <w:kern w:val="0"/>
          <w:sz w:val="32"/>
          <w:szCs w:val="32"/>
        </w:rPr>
        <w:t>D、“本年利润”账户</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3.(5分)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职工福利费按工资总额提取的比例是：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6" type="#_x0000_t75" style="width:20.25pt;height:15.75pt" o:ole="">
            <v:imagedata r:id="rId6" o:title=""/>
          </v:shape>
          <w:control r:id="rId144" w:name="DefaultOcxName82" w:shapeid="_x0000_i1596"/>
        </w:object>
      </w:r>
      <w:r w:rsidRPr="00B662CC">
        <w:rPr>
          <w:rFonts w:ascii="宋体" w:eastAsia="宋体" w:hAnsi="宋体" w:cs="宋体" w:hint="eastAsia"/>
          <w:kern w:val="0"/>
          <w:sz w:val="32"/>
          <w:szCs w:val="32"/>
        </w:rPr>
        <w:t>A、10%</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5" type="#_x0000_t75" style="width:20.25pt;height:15.75pt" o:ole="">
            <v:imagedata r:id="rId4" o:title=""/>
          </v:shape>
          <w:control r:id="rId145" w:name="DefaultOcxName92" w:shapeid="_x0000_i1595"/>
        </w:object>
      </w:r>
      <w:r w:rsidRPr="00B662CC">
        <w:rPr>
          <w:rFonts w:ascii="宋体" w:eastAsia="宋体" w:hAnsi="宋体" w:cs="宋体" w:hint="eastAsia"/>
          <w:kern w:val="0"/>
          <w:sz w:val="32"/>
          <w:szCs w:val="32"/>
        </w:rPr>
        <w:t>B、14%</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4" type="#_x0000_t75" style="width:20.25pt;height:15.75pt" o:ole="">
            <v:imagedata r:id="rId6" o:title=""/>
          </v:shape>
          <w:control r:id="rId146" w:name="DefaultOcxName102" w:shapeid="_x0000_i1594"/>
        </w:object>
      </w:r>
      <w:r w:rsidRPr="00B662CC">
        <w:rPr>
          <w:rFonts w:ascii="宋体" w:eastAsia="宋体" w:hAnsi="宋体" w:cs="宋体" w:hint="eastAsia"/>
          <w:kern w:val="0"/>
          <w:sz w:val="32"/>
          <w:szCs w:val="32"/>
        </w:rPr>
        <w:t>C、20%</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3" type="#_x0000_t75" style="width:20.25pt;height:15.75pt" o:ole="">
            <v:imagedata r:id="rId6" o:title=""/>
          </v:shape>
          <w:control r:id="rId147" w:name="DefaultOcxName112" w:shapeid="_x0000_i1593"/>
        </w:object>
      </w:r>
      <w:r w:rsidRPr="00B662CC">
        <w:rPr>
          <w:rFonts w:ascii="宋体" w:eastAsia="宋体" w:hAnsi="宋体" w:cs="宋体" w:hint="eastAsia"/>
          <w:kern w:val="0"/>
          <w:sz w:val="32"/>
          <w:szCs w:val="32"/>
        </w:rPr>
        <w:t>D、17%</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4.(5分)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业务管理费不包括：</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2" type="#_x0000_t75" style="width:20.25pt;height:15.75pt" o:ole="">
            <v:imagedata r:id="rId4" o:title=""/>
          </v:shape>
          <w:control r:id="rId148" w:name="DefaultOcxName122" w:shapeid="_x0000_i1592"/>
        </w:object>
      </w:r>
      <w:r w:rsidRPr="00B662CC">
        <w:rPr>
          <w:rFonts w:ascii="宋体" w:eastAsia="宋体" w:hAnsi="宋体" w:cs="宋体" w:hint="eastAsia"/>
          <w:kern w:val="0"/>
          <w:sz w:val="32"/>
          <w:szCs w:val="32"/>
        </w:rPr>
        <w:t>A、业务宣传费</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1" type="#_x0000_t75" style="width:20.25pt;height:15.75pt" o:ole="">
            <v:imagedata r:id="rId6" o:title=""/>
          </v:shape>
          <w:control r:id="rId149" w:name="DefaultOcxName132" w:shapeid="_x0000_i1591"/>
        </w:object>
      </w:r>
      <w:r w:rsidRPr="00B662CC">
        <w:rPr>
          <w:rFonts w:ascii="宋体" w:eastAsia="宋体" w:hAnsi="宋体" w:cs="宋体" w:hint="eastAsia"/>
          <w:kern w:val="0"/>
          <w:sz w:val="32"/>
          <w:szCs w:val="32"/>
        </w:rPr>
        <w:t>B、保险费</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90" type="#_x0000_t75" style="width:20.25pt;height:15.75pt" o:ole="">
            <v:imagedata r:id="rId6" o:title=""/>
          </v:shape>
          <w:control r:id="rId150" w:name="DefaultOcxName142" w:shapeid="_x0000_i1590"/>
        </w:object>
      </w:r>
      <w:r w:rsidRPr="00B662CC">
        <w:rPr>
          <w:rFonts w:ascii="宋体" w:eastAsia="宋体" w:hAnsi="宋体" w:cs="宋体" w:hint="eastAsia"/>
          <w:kern w:val="0"/>
          <w:sz w:val="32"/>
          <w:szCs w:val="32"/>
        </w:rPr>
        <w:t>C、差旅费</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9" type="#_x0000_t75" style="width:20.25pt;height:15.75pt" o:ole="">
            <v:imagedata r:id="rId6" o:title=""/>
          </v:shape>
          <w:control r:id="rId151" w:name="DefaultOcxName152" w:shapeid="_x0000_i1589"/>
        </w:object>
      </w:r>
      <w:r w:rsidRPr="00B662CC">
        <w:rPr>
          <w:rFonts w:ascii="宋体" w:eastAsia="宋体" w:hAnsi="宋体" w:cs="宋体" w:hint="eastAsia"/>
          <w:kern w:val="0"/>
          <w:sz w:val="32"/>
          <w:szCs w:val="32"/>
        </w:rPr>
        <w:t>D、劳动保护费</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5.(5分)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关于信用卡的使用，下列说法正确的是：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8" type="#_x0000_t75" style="width:20.25pt;height:15.75pt" o:ole="">
            <v:imagedata r:id="rId4" o:title=""/>
          </v:shape>
          <w:control r:id="rId152" w:name="DefaultOcxName162" w:shapeid="_x0000_i1588"/>
        </w:object>
      </w:r>
      <w:r w:rsidRPr="00B662CC">
        <w:rPr>
          <w:rFonts w:ascii="宋体" w:eastAsia="宋体" w:hAnsi="宋体" w:cs="宋体" w:hint="eastAsia"/>
          <w:kern w:val="0"/>
          <w:sz w:val="32"/>
          <w:szCs w:val="32"/>
        </w:rPr>
        <w:t>A、单位卡账户的资金从其基本存款账户转入</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7" type="#_x0000_t75" style="width:20.25pt;height:15.75pt" o:ole="">
            <v:imagedata r:id="rId6" o:title=""/>
          </v:shape>
          <w:control r:id="rId153" w:name="DefaultOcxName172" w:shapeid="_x0000_i1587"/>
        </w:object>
      </w:r>
      <w:r w:rsidRPr="00B662CC">
        <w:rPr>
          <w:rFonts w:ascii="宋体" w:eastAsia="宋体" w:hAnsi="宋体" w:cs="宋体" w:hint="eastAsia"/>
          <w:kern w:val="0"/>
          <w:sz w:val="32"/>
          <w:szCs w:val="32"/>
        </w:rPr>
        <w:t>B、单位卡账户的资金以现金存入</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6" type="#_x0000_t75" style="width:20.25pt;height:15.75pt" o:ole="">
            <v:imagedata r:id="rId6" o:title=""/>
          </v:shape>
          <w:control r:id="rId154" w:name="DefaultOcxName182" w:shapeid="_x0000_i1586"/>
        </w:object>
      </w:r>
      <w:r w:rsidRPr="00B662CC">
        <w:rPr>
          <w:rFonts w:ascii="宋体" w:eastAsia="宋体" w:hAnsi="宋体" w:cs="宋体" w:hint="eastAsia"/>
          <w:kern w:val="0"/>
          <w:sz w:val="32"/>
          <w:szCs w:val="32"/>
        </w:rPr>
        <w:t>C、单位卡可以存取现金</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5" type="#_x0000_t75" style="width:20.25pt;height:15.75pt" o:ole="">
            <v:imagedata r:id="rId6" o:title=""/>
          </v:shape>
          <w:control r:id="rId155" w:name="DefaultOcxName192" w:shapeid="_x0000_i1585"/>
        </w:object>
      </w:r>
      <w:r w:rsidRPr="00B662CC">
        <w:rPr>
          <w:rFonts w:ascii="宋体" w:eastAsia="宋体" w:hAnsi="宋体" w:cs="宋体" w:hint="eastAsia"/>
          <w:kern w:val="0"/>
          <w:sz w:val="32"/>
          <w:szCs w:val="32"/>
        </w:rPr>
        <w:t>D、单位卡透支不受限额限制</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6.(5分)</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lastRenderedPageBreak/>
        <w:t>既反映资金运动的静态状况，又反映资金运动的动态情况的报表是:</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4" type="#_x0000_t75" style="width:20.25pt;height:15.75pt" o:ole="">
            <v:imagedata r:id="rId4" o:title=""/>
          </v:shape>
          <w:control r:id="rId156" w:name="DefaultOcxName202" w:shapeid="_x0000_i1584"/>
        </w:object>
      </w:r>
      <w:r w:rsidRPr="00B662CC">
        <w:rPr>
          <w:rFonts w:ascii="宋体" w:eastAsia="宋体" w:hAnsi="宋体" w:cs="宋体" w:hint="eastAsia"/>
          <w:kern w:val="0"/>
          <w:sz w:val="32"/>
          <w:szCs w:val="32"/>
        </w:rPr>
        <w:t>A、财务状况变动表</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3" type="#_x0000_t75" style="width:20.25pt;height:15.75pt" o:ole="">
            <v:imagedata r:id="rId6" o:title=""/>
          </v:shape>
          <w:control r:id="rId157" w:name="DefaultOcxName212" w:shapeid="_x0000_i1583"/>
        </w:object>
      </w:r>
      <w:r w:rsidRPr="00B662CC">
        <w:rPr>
          <w:rFonts w:ascii="宋体" w:eastAsia="宋体" w:hAnsi="宋体" w:cs="宋体" w:hint="eastAsia"/>
          <w:kern w:val="0"/>
          <w:sz w:val="32"/>
          <w:szCs w:val="32"/>
        </w:rPr>
        <w:t>B、资产负债表</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2" type="#_x0000_t75" style="width:20.25pt;height:15.75pt" o:ole="">
            <v:imagedata r:id="rId6" o:title=""/>
          </v:shape>
          <w:control r:id="rId158" w:name="DefaultOcxName222" w:shapeid="_x0000_i1582"/>
        </w:object>
      </w:r>
      <w:r w:rsidRPr="00B662CC">
        <w:rPr>
          <w:rFonts w:ascii="宋体" w:eastAsia="宋体" w:hAnsi="宋体" w:cs="宋体" w:hint="eastAsia"/>
          <w:kern w:val="0"/>
          <w:sz w:val="32"/>
          <w:szCs w:val="32"/>
        </w:rPr>
        <w:t>C、利润表</w:t>
      </w:r>
      <w:r w:rsidRPr="00B662CC">
        <w:rPr>
          <w:rFonts w:ascii="宋体" w:eastAsia="宋体" w:hAnsi="宋体" w:cs="宋体" w:hint="eastAsia"/>
          <w:kern w:val="0"/>
          <w:sz w:val="32"/>
          <w:szCs w:val="32"/>
        </w:rPr>
        <w:br/>
      </w:r>
      <w:r w:rsidRPr="00B662CC">
        <w:rPr>
          <w:rFonts w:ascii="宋体" w:eastAsia="宋体" w:hAnsi="宋体" w:cs="宋体"/>
          <w:kern w:val="0"/>
          <w:sz w:val="32"/>
          <w:szCs w:val="32"/>
        </w:rPr>
        <w:object w:dxaOrig="1440" w:dyaOrig="1440">
          <v:shape id="_x0000_i1581" type="#_x0000_t75" style="width:20.25pt;height:15.75pt" o:ole="">
            <v:imagedata r:id="rId6" o:title=""/>
          </v:shape>
          <w:control r:id="rId159" w:name="DefaultOcxName232" w:shapeid="_x0000_i1581"/>
        </w:object>
      </w:r>
      <w:r w:rsidRPr="00B662CC">
        <w:rPr>
          <w:rFonts w:ascii="宋体" w:eastAsia="宋体" w:hAnsi="宋体" w:cs="宋体" w:hint="eastAsia"/>
          <w:kern w:val="0"/>
          <w:sz w:val="32"/>
          <w:szCs w:val="32"/>
        </w:rPr>
        <w:t>D、现金流量表</w:t>
      </w:r>
    </w:p>
    <w:p w:rsidR="00B662CC" w:rsidRPr="00B662CC" w:rsidRDefault="00B662CC" w:rsidP="00B662CC">
      <w:pPr>
        <w:widowControl/>
        <w:shd w:val="clear" w:color="auto" w:fill="EEF3F9"/>
        <w:jc w:val="left"/>
        <w:rPr>
          <w:rFonts w:ascii="宋体" w:eastAsia="宋体" w:hAnsi="宋体" w:cs="宋体" w:hint="eastAsia"/>
          <w:kern w:val="0"/>
          <w:sz w:val="45"/>
          <w:szCs w:val="45"/>
        </w:rPr>
      </w:pPr>
      <w:r w:rsidRPr="00B662CC">
        <w:rPr>
          <w:rFonts w:ascii="宋体" w:eastAsia="宋体" w:hAnsi="宋体" w:cs="宋体"/>
          <w:kern w:val="0"/>
          <w:sz w:val="45"/>
          <w:szCs w:val="45"/>
        </w:rPr>
        <w:t>多选题(共6题,共30分)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2205"/>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银行的营业支出包括：</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80" type="#_x0000_t75" style="width:20.25pt;height:15.75pt" o:ole="">
                  <v:imagedata r:id="rId30" o:title=""/>
                </v:shape>
                <w:control r:id="rId160" w:name="DefaultOcxName242" w:shapeid="_x0000_i1580"/>
              </w:object>
            </w:r>
            <w:r w:rsidRPr="00B662CC">
              <w:rPr>
                <w:rFonts w:ascii="宋体" w:eastAsia="宋体" w:hAnsi="宋体" w:cs="宋体"/>
                <w:kern w:val="0"/>
                <w:sz w:val="18"/>
                <w:szCs w:val="18"/>
              </w:rPr>
              <w:t>A、利息支出</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9" type="#_x0000_t75" style="width:20.25pt;height:15.75pt" o:ole="">
                  <v:imagedata r:id="rId30" o:title=""/>
                </v:shape>
                <w:control r:id="rId161" w:name="DefaultOcxName252" w:shapeid="_x0000_i1579"/>
              </w:object>
            </w:r>
            <w:r w:rsidRPr="00B662CC">
              <w:rPr>
                <w:rFonts w:ascii="宋体" w:eastAsia="宋体" w:hAnsi="宋体" w:cs="宋体"/>
                <w:kern w:val="0"/>
                <w:sz w:val="18"/>
                <w:szCs w:val="18"/>
              </w:rPr>
              <w:t>B、金融企业往来支出</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8" type="#_x0000_t75" style="width:20.25pt;height:15.75pt" o:ole="">
                  <v:imagedata r:id="rId30" o:title=""/>
                </v:shape>
                <w:control r:id="rId162" w:name="DefaultOcxName262" w:shapeid="_x0000_i1578"/>
              </w:object>
            </w:r>
            <w:r w:rsidRPr="00B662CC">
              <w:rPr>
                <w:rFonts w:ascii="宋体" w:eastAsia="宋体" w:hAnsi="宋体" w:cs="宋体"/>
                <w:kern w:val="0"/>
                <w:sz w:val="18"/>
                <w:szCs w:val="18"/>
              </w:rPr>
              <w:t>C、营业费用</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7" type="#_x0000_t75" style="width:20.25pt;height:15.75pt" o:ole="">
                  <v:imagedata r:id="rId30" o:title=""/>
                </v:shape>
                <w:control r:id="rId163" w:name="DefaultOcxName272" w:shapeid="_x0000_i1577"/>
              </w:object>
            </w:r>
            <w:r w:rsidRPr="00B662CC">
              <w:rPr>
                <w:rFonts w:ascii="宋体" w:eastAsia="宋体" w:hAnsi="宋体" w:cs="宋体"/>
                <w:kern w:val="0"/>
                <w:sz w:val="18"/>
                <w:szCs w:val="18"/>
              </w:rPr>
              <w:t>D、汇兑损失</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261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金融企业的财务会计报告分为：</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6" type="#_x0000_t75" style="width:20.25pt;height:15.75pt" o:ole="">
                  <v:imagedata r:id="rId30" o:title=""/>
                </v:shape>
                <w:control r:id="rId164" w:name="DefaultOcxName282" w:shapeid="_x0000_i1576"/>
              </w:object>
            </w:r>
            <w:r w:rsidRPr="00B662CC">
              <w:rPr>
                <w:rFonts w:ascii="宋体" w:eastAsia="宋体" w:hAnsi="宋体" w:cs="宋体"/>
                <w:kern w:val="0"/>
                <w:sz w:val="18"/>
                <w:szCs w:val="18"/>
              </w:rPr>
              <w:t>A、年度财务报告</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5" type="#_x0000_t75" style="width:20.25pt;height:15.75pt" o:ole="">
                  <v:imagedata r:id="rId30" o:title=""/>
                </v:shape>
                <w:control r:id="rId165" w:name="DefaultOcxName292" w:shapeid="_x0000_i1575"/>
              </w:object>
            </w:r>
            <w:r w:rsidRPr="00B662CC">
              <w:rPr>
                <w:rFonts w:ascii="宋体" w:eastAsia="宋体" w:hAnsi="宋体" w:cs="宋体"/>
                <w:kern w:val="0"/>
                <w:sz w:val="18"/>
                <w:szCs w:val="18"/>
              </w:rPr>
              <w:t>B、半年度财务报告</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4" type="#_x0000_t75" style="width:20.25pt;height:15.75pt" o:ole="">
                  <v:imagedata r:id="rId30" o:title=""/>
                </v:shape>
                <w:control r:id="rId166" w:name="DefaultOcxName302" w:shapeid="_x0000_i1574"/>
              </w:object>
            </w:r>
            <w:r w:rsidRPr="00B662CC">
              <w:rPr>
                <w:rFonts w:ascii="宋体" w:eastAsia="宋体" w:hAnsi="宋体" w:cs="宋体"/>
                <w:kern w:val="0"/>
                <w:sz w:val="18"/>
                <w:szCs w:val="18"/>
              </w:rPr>
              <w:t>C、季度财务报告</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3" type="#_x0000_t75" style="width:20.25pt;height:15.75pt" o:ole="">
                  <v:imagedata r:id="rId30" o:title=""/>
                </v:shape>
                <w:control r:id="rId167" w:name="DefaultOcxName312" w:shapeid="_x0000_i1573"/>
              </w:object>
            </w:r>
            <w:r w:rsidRPr="00B662CC">
              <w:rPr>
                <w:rFonts w:ascii="宋体" w:eastAsia="宋体" w:hAnsi="宋体" w:cs="宋体"/>
                <w:kern w:val="0"/>
                <w:sz w:val="18"/>
                <w:szCs w:val="18"/>
              </w:rPr>
              <w:t>D、月度财务报告</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22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银行固定资产折旧方法有：</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2" type="#_x0000_t75" style="width:20.25pt;height:15.75pt" o:ole="">
                  <v:imagedata r:id="rId30" o:title=""/>
                </v:shape>
                <w:control r:id="rId168" w:name="DefaultOcxName322" w:shapeid="_x0000_i1572"/>
              </w:object>
            </w:r>
            <w:r w:rsidRPr="00B662CC">
              <w:rPr>
                <w:rFonts w:ascii="宋体" w:eastAsia="宋体" w:hAnsi="宋体" w:cs="宋体"/>
                <w:kern w:val="0"/>
                <w:sz w:val="18"/>
                <w:szCs w:val="18"/>
              </w:rPr>
              <w:t>A、平均年限法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1" type="#_x0000_t75" style="width:20.25pt;height:15.75pt" o:ole="">
                  <v:imagedata r:id="rId30" o:title=""/>
                </v:shape>
                <w:control r:id="rId169" w:name="DefaultOcxName332" w:shapeid="_x0000_i1571"/>
              </w:object>
            </w:r>
            <w:r w:rsidRPr="00B662CC">
              <w:rPr>
                <w:rFonts w:ascii="宋体" w:eastAsia="宋体" w:hAnsi="宋体" w:cs="宋体"/>
                <w:kern w:val="0"/>
                <w:sz w:val="18"/>
                <w:szCs w:val="18"/>
              </w:rPr>
              <w:t>B、工作量法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70" type="#_x0000_t75" style="width:20.25pt;height:15.75pt" o:ole="">
                  <v:imagedata r:id="rId30" o:title=""/>
                </v:shape>
                <w:control r:id="rId170" w:name="DefaultOcxName342" w:shapeid="_x0000_i1570"/>
              </w:object>
            </w:r>
            <w:r w:rsidRPr="00B662CC">
              <w:rPr>
                <w:rFonts w:ascii="宋体" w:eastAsia="宋体" w:hAnsi="宋体" w:cs="宋体"/>
                <w:kern w:val="0"/>
                <w:sz w:val="18"/>
                <w:szCs w:val="18"/>
              </w:rPr>
              <w:t>C、双倍余额递减法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9" type="#_x0000_t75" style="width:20.25pt;height:15.75pt" o:ole="">
                  <v:imagedata r:id="rId30" o:title=""/>
                </v:shape>
                <w:control r:id="rId171" w:name="DefaultOcxName352" w:shapeid="_x0000_i1569"/>
              </w:object>
            </w:r>
            <w:r w:rsidRPr="00B662CC">
              <w:rPr>
                <w:rFonts w:ascii="宋体" w:eastAsia="宋体" w:hAnsi="宋体" w:cs="宋体"/>
                <w:kern w:val="0"/>
                <w:sz w:val="18"/>
                <w:szCs w:val="18"/>
              </w:rPr>
              <w:t>D、年数总和法</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243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长期股权投资的核算方法有：</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8" type="#_x0000_t75" style="width:20.25pt;height:15.75pt" o:ole="">
                  <v:imagedata r:id="rId42" o:title=""/>
                </v:shape>
                <w:control r:id="rId172" w:name="DefaultOcxName362" w:shapeid="_x0000_i1568"/>
              </w:object>
            </w:r>
            <w:r w:rsidRPr="00B662CC">
              <w:rPr>
                <w:rFonts w:ascii="宋体" w:eastAsia="宋体" w:hAnsi="宋体" w:cs="宋体"/>
                <w:kern w:val="0"/>
                <w:sz w:val="18"/>
                <w:szCs w:val="18"/>
              </w:rPr>
              <w:t>A、收入法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7" type="#_x0000_t75" style="width:20.25pt;height:15.75pt" o:ole="">
                  <v:imagedata r:id="rId42" o:title=""/>
                </v:shape>
                <w:control r:id="rId173" w:name="DefaultOcxName372" w:shapeid="_x0000_i1567"/>
              </w:object>
            </w:r>
            <w:r w:rsidRPr="00B662CC">
              <w:rPr>
                <w:rFonts w:ascii="宋体" w:eastAsia="宋体" w:hAnsi="宋体" w:cs="宋体"/>
                <w:kern w:val="0"/>
                <w:sz w:val="18"/>
                <w:szCs w:val="18"/>
              </w:rPr>
              <w:t>B、支出法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6" type="#_x0000_t75" style="width:20.25pt;height:15.75pt" o:ole="">
                  <v:imagedata r:id="rId30" o:title=""/>
                </v:shape>
                <w:control r:id="rId174" w:name="DefaultOcxName382" w:shapeid="_x0000_i1566"/>
              </w:object>
            </w:r>
            <w:r w:rsidRPr="00B662CC">
              <w:rPr>
                <w:rFonts w:ascii="宋体" w:eastAsia="宋体" w:hAnsi="宋体" w:cs="宋体"/>
                <w:kern w:val="0"/>
                <w:sz w:val="18"/>
                <w:szCs w:val="18"/>
              </w:rPr>
              <w:t>C、成本法</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5" type="#_x0000_t75" style="width:20.25pt;height:15.75pt" o:ole="">
                  <v:imagedata r:id="rId30" o:title=""/>
                </v:shape>
                <w:control r:id="rId175" w:name="DefaultOcxName392" w:shapeid="_x0000_i1565"/>
              </w:object>
            </w:r>
            <w:r w:rsidRPr="00B662CC">
              <w:rPr>
                <w:rFonts w:ascii="宋体" w:eastAsia="宋体" w:hAnsi="宋体" w:cs="宋体"/>
                <w:kern w:val="0"/>
                <w:sz w:val="18"/>
                <w:szCs w:val="18"/>
              </w:rPr>
              <w:t>D、权益法</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40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利润是指银行在一定会计期间的经营成果，包括：</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4" type="#_x0000_t75" style="width:20.25pt;height:15.75pt" o:ole="">
                  <v:imagedata r:id="rId30" o:title=""/>
                </v:shape>
                <w:control r:id="rId176" w:name="DefaultOcxName402" w:shapeid="_x0000_i1564"/>
              </w:object>
            </w:r>
            <w:r w:rsidRPr="00B662CC">
              <w:rPr>
                <w:rFonts w:ascii="宋体" w:eastAsia="宋体" w:hAnsi="宋体" w:cs="宋体"/>
                <w:kern w:val="0"/>
                <w:sz w:val="18"/>
                <w:szCs w:val="18"/>
              </w:rPr>
              <w:t>A、营业利润</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3" type="#_x0000_t75" style="width:20.25pt;height:15.75pt" o:ole="">
                  <v:imagedata r:id="rId30" o:title=""/>
                </v:shape>
                <w:control r:id="rId177" w:name="DefaultOcxName412" w:shapeid="_x0000_i1563"/>
              </w:object>
            </w:r>
            <w:r w:rsidRPr="00B662CC">
              <w:rPr>
                <w:rFonts w:ascii="宋体" w:eastAsia="宋体" w:hAnsi="宋体" w:cs="宋体"/>
                <w:kern w:val="0"/>
                <w:sz w:val="18"/>
                <w:szCs w:val="18"/>
              </w:rPr>
              <w:t>B、利润总额</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2" type="#_x0000_t75" style="width:20.25pt;height:15.75pt" o:ole="">
                  <v:imagedata r:id="rId42" o:title=""/>
                </v:shape>
                <w:control r:id="rId178" w:name="DefaultOcxName422" w:shapeid="_x0000_i1562"/>
              </w:object>
            </w:r>
            <w:r w:rsidRPr="00B662CC">
              <w:rPr>
                <w:rFonts w:ascii="宋体" w:eastAsia="宋体" w:hAnsi="宋体" w:cs="宋体"/>
                <w:kern w:val="0"/>
                <w:sz w:val="18"/>
                <w:szCs w:val="18"/>
              </w:rPr>
              <w:t>C、营业收入</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1" type="#_x0000_t75" style="width:20.25pt;height:15.75pt" o:ole="">
                  <v:imagedata r:id="rId30" o:title=""/>
                </v:shape>
                <w:control r:id="rId179" w:name="DefaultOcxName432" w:shapeid="_x0000_i1561"/>
              </w:object>
            </w:r>
            <w:r w:rsidRPr="00B662CC">
              <w:rPr>
                <w:rFonts w:ascii="宋体" w:eastAsia="宋体" w:hAnsi="宋体" w:cs="宋体"/>
                <w:kern w:val="0"/>
                <w:sz w:val="18"/>
                <w:szCs w:val="18"/>
              </w:rPr>
              <w:t>D、净利润</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315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商业银行发放的委托贷款目前主要有：</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60" type="#_x0000_t75" style="width:20.25pt;height:15.75pt" o:ole="">
                  <v:imagedata r:id="rId30" o:title=""/>
                </v:shape>
                <w:control r:id="rId180" w:name="DefaultOcxName442" w:shapeid="_x0000_i1560"/>
              </w:object>
            </w:r>
            <w:r w:rsidRPr="00B662CC">
              <w:rPr>
                <w:rFonts w:ascii="宋体" w:eastAsia="宋体" w:hAnsi="宋体" w:cs="宋体"/>
                <w:kern w:val="0"/>
                <w:sz w:val="18"/>
                <w:szCs w:val="18"/>
              </w:rPr>
              <w:t>A、政府部门委托贷款</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9" type="#_x0000_t75" style="width:20.25pt;height:15.75pt" o:ole="">
                  <v:imagedata r:id="rId30" o:title=""/>
                </v:shape>
                <w:control r:id="rId181" w:name="DefaultOcxName452" w:shapeid="_x0000_i1559"/>
              </w:object>
            </w:r>
            <w:r w:rsidRPr="00B662CC">
              <w:rPr>
                <w:rFonts w:ascii="宋体" w:eastAsia="宋体" w:hAnsi="宋体" w:cs="宋体"/>
                <w:kern w:val="0"/>
                <w:sz w:val="18"/>
                <w:szCs w:val="18"/>
              </w:rPr>
              <w:t>B、企事业单位委托贷款</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object w:dxaOrig="1440" w:dyaOrig="1440">
                <v:shape id="_x0000_i1558" type="#_x0000_t75" style="width:20.25pt;height:15.75pt" o:ole="">
                  <v:imagedata r:id="rId30" o:title=""/>
                </v:shape>
                <w:control r:id="rId182" w:name="DefaultOcxName462" w:shapeid="_x0000_i1558"/>
              </w:object>
            </w:r>
            <w:r w:rsidRPr="00B662CC">
              <w:rPr>
                <w:rFonts w:ascii="宋体" w:eastAsia="宋体" w:hAnsi="宋体" w:cs="宋体"/>
                <w:kern w:val="0"/>
                <w:sz w:val="18"/>
                <w:szCs w:val="18"/>
              </w:rPr>
              <w:t>C、人民银行委托贷款</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7" type="#_x0000_t75" style="width:20.25pt;height:15.75pt" o:ole="">
                  <v:imagedata r:id="rId42" o:title=""/>
                </v:shape>
                <w:control r:id="rId183" w:name="DefaultOcxName472" w:shapeid="_x0000_i1557"/>
              </w:object>
            </w:r>
            <w:r w:rsidRPr="00B662CC">
              <w:rPr>
                <w:rFonts w:ascii="宋体" w:eastAsia="宋体" w:hAnsi="宋体" w:cs="宋体"/>
                <w:kern w:val="0"/>
                <w:sz w:val="18"/>
                <w:szCs w:val="18"/>
              </w:rPr>
              <w:t>D、个人委托贷款</w:t>
            </w:r>
          </w:p>
        </w:tc>
      </w:tr>
    </w:tbl>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t>判断题(共8题,共40分)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8396"/>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银行当期实现的净利润，加上年初未分配利润（或减去年初未弥补亏损）和其他转入后的余额，为可供分配的利润。</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6" type="#_x0000_t75" style="width:20.25pt;height:15.75pt" o:ole="">
                  <v:imagedata r:id="rId4" o:title=""/>
                </v:shape>
                <w:control r:id="rId184" w:name="DefaultOcxName482" w:shapeid="_x0000_i1556"/>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5" type="#_x0000_t75" style="width:20.25pt;height:15.75pt" o:ole="">
                  <v:imagedata r:id="rId6" o:title=""/>
                </v:shape>
                <w:control r:id="rId185" w:name="DefaultOcxName492" w:shapeid="_x0000_i1555"/>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351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银行应缴纳的所有税金均应在利润前缴纳。</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4" type="#_x0000_t75" style="width:20.25pt;height:15.75pt" o:ole="">
                  <v:imagedata r:id="rId6" o:title=""/>
                </v:shape>
                <w:control r:id="rId186" w:name="DefaultOcxName502" w:shapeid="_x0000_i1554"/>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3" type="#_x0000_t75" style="width:20.25pt;height:15.75pt" o:ole="">
                  <v:imagedata r:id="rId4" o:title=""/>
                </v:shape>
                <w:control r:id="rId187" w:name="DefaultOcxName512" w:shapeid="_x0000_i1553"/>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369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编制现金流量表的基础是现金及现金等价物。</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2" type="#_x0000_t75" style="width:20.25pt;height:15.75pt" o:ole="">
                  <v:imagedata r:id="rId4" o:title=""/>
                </v:shape>
                <w:control r:id="rId188" w:name="DefaultOcxName522" w:shapeid="_x0000_i1552"/>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1" type="#_x0000_t75" style="width:20.25pt;height:15.75pt" o:ole="">
                  <v:imagedata r:id="rId6" o:title=""/>
                </v:shape>
                <w:control r:id="rId189" w:name="DefaultOcxName532" w:shapeid="_x0000_i1551"/>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459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我国金融企业资产负债表采用报告式资产负债表的格式。</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50" type="#_x0000_t75" style="width:20.25pt;height:15.75pt" o:ole="">
                  <v:imagedata r:id="rId6" o:title=""/>
                </v:shape>
                <w:control r:id="rId190" w:name="DefaultOcxName542" w:shapeid="_x0000_i1550"/>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9" type="#_x0000_t75" style="width:20.25pt;height:15.75pt" o:ole="">
                  <v:imagedata r:id="rId4" o:title=""/>
                </v:shape>
                <w:control r:id="rId191" w:name="DefaultOcxName552" w:shapeid="_x0000_i1549"/>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8396"/>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lastRenderedPageBreak/>
              <w:t>或有事项是指由过去的交易或事项形成的一种状态，其结果须通过未来不确定事项的发生或不发生予以证实。</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8" type="#_x0000_t75" style="width:20.25pt;height:15.75pt" o:ole="">
                  <v:imagedata r:id="rId4" o:title=""/>
                </v:shape>
                <w:control r:id="rId192" w:name="DefaultOcxName562" w:shapeid="_x0000_i1548"/>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7" type="#_x0000_t75" style="width:20.25pt;height:15.75pt" o:ole="">
                  <v:imagedata r:id="rId6" o:title=""/>
                </v:shape>
                <w:control r:id="rId193" w:name="DefaultOcxName572" w:shapeid="_x0000_i1547"/>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387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银行缴纳印花税票款时，应借记“管理费用”。</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6" type="#_x0000_t75" style="width:20.25pt;height:15.75pt" o:ole="">
                  <v:imagedata r:id="rId6" o:title=""/>
                </v:shape>
                <w:control r:id="rId194" w:name="DefaultOcxName582" w:shapeid="_x0000_i1546"/>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5" type="#_x0000_t75" style="width:20.25pt;height:15.75pt" o:ole="">
                  <v:imagedata r:id="rId4" o:title=""/>
                </v:shape>
                <w:control r:id="rId195" w:name="DefaultOcxName592" w:shapeid="_x0000_i1545"/>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567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在成本法下，被投资单位实现净损益时，投资企业无须进行账务处理。</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4" type="#_x0000_t75" style="width:20.25pt;height:15.75pt" o:ole="">
                  <v:imagedata r:id="rId4" o:title=""/>
                </v:shape>
                <w:control r:id="rId196" w:name="DefaultOcxName602" w:shapeid="_x0000_i1544"/>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3" type="#_x0000_t75" style="width:20.25pt;height:15.75pt" o:ole="">
                  <v:imagedata r:id="rId6" o:title=""/>
                </v:shape>
                <w:control r:id="rId197" w:name="DefaultOcxName612" w:shapeid="_x0000_i1543"/>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3690"/>
      </w:tblGrid>
      <w:tr w:rsidR="00B662CC" w:rsidRPr="00B662CC" w:rsidTr="00B662CC">
        <w:trPr>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t>远期信用证项下付汇分承兑和付汇两个阶段。</w:t>
            </w:r>
          </w:p>
        </w:tc>
      </w:tr>
      <w:tr w:rsidR="00B662CC" w:rsidRPr="00B662CC" w:rsidTr="00B662CC">
        <w:trPr>
          <w:trHeight w:val="150"/>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6"/>
                <w:szCs w:val="18"/>
              </w:rPr>
            </w:pP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2" type="#_x0000_t75" style="width:20.25pt;height:15.75pt" o:ole="">
                  <v:imagedata r:id="rId4" o:title=""/>
                </v:shape>
                <w:control r:id="rId198" w:name="DefaultOcxName622" w:shapeid="_x0000_i1542"/>
              </w:object>
            </w:r>
            <w:r w:rsidRPr="00B662CC">
              <w:rPr>
                <w:rFonts w:ascii="宋体" w:eastAsia="宋体" w:hAnsi="宋体" w:cs="宋体"/>
                <w:kern w:val="0"/>
                <w:sz w:val="18"/>
                <w:szCs w:val="18"/>
              </w:rPr>
              <w:t>√</w:t>
            </w:r>
          </w:p>
        </w:tc>
      </w:tr>
      <w:tr w:rsidR="00B662CC" w:rsidRPr="00B662CC" w:rsidTr="00B662CC">
        <w:trPr>
          <w:trHeight w:val="375"/>
          <w:tblCellSpacing w:w="15" w:type="dxa"/>
        </w:trPr>
        <w:tc>
          <w:tcPr>
            <w:tcW w:w="0" w:type="auto"/>
            <w:vAlign w:val="center"/>
            <w:hideMark/>
          </w:tcPr>
          <w:p w:rsidR="00B662CC" w:rsidRPr="00B662CC" w:rsidRDefault="00B662CC" w:rsidP="00B662CC">
            <w:pPr>
              <w:widowControl/>
              <w:jc w:val="left"/>
              <w:rPr>
                <w:rFonts w:ascii="宋体" w:eastAsia="宋体" w:hAnsi="宋体" w:cs="宋体"/>
                <w:kern w:val="0"/>
                <w:sz w:val="18"/>
                <w:szCs w:val="18"/>
              </w:rPr>
            </w:pPr>
            <w:r w:rsidRPr="00B662CC">
              <w:rPr>
                <w:rFonts w:ascii="宋体" w:eastAsia="宋体" w:hAnsi="宋体" w:cs="宋体"/>
                <w:kern w:val="0"/>
                <w:sz w:val="18"/>
                <w:szCs w:val="18"/>
              </w:rPr>
              <w:object w:dxaOrig="1440" w:dyaOrig="1440">
                <v:shape id="_x0000_i1541" type="#_x0000_t75" style="width:20.25pt;height:15.75pt" o:ole="">
                  <v:imagedata r:id="rId6" o:title=""/>
                </v:shape>
                <w:control r:id="rId199" w:name="DefaultOcxName632" w:shapeid="_x0000_i1541"/>
              </w:object>
            </w:r>
            <w:r w:rsidRPr="00B662CC">
              <w:rPr>
                <w:rFonts w:ascii="宋体" w:eastAsia="宋体" w:hAnsi="宋体" w:cs="宋体"/>
                <w:kern w:val="0"/>
                <w:sz w:val="18"/>
                <w:szCs w:val="18"/>
              </w:rPr>
              <w:t>×</w:t>
            </w:r>
          </w:p>
        </w:tc>
      </w:tr>
    </w:tbl>
    <w:p w:rsidR="00B662CC" w:rsidRPr="00B662CC" w:rsidRDefault="00B662CC" w:rsidP="00B662CC">
      <w:pPr>
        <w:widowControl/>
        <w:shd w:val="clear" w:color="auto" w:fill="EEF3F9"/>
        <w:jc w:val="center"/>
        <w:rPr>
          <w:rFonts w:ascii="宋体" w:eastAsia="宋体" w:hAnsi="宋体" w:cs="宋体"/>
          <w:kern w:val="0"/>
          <w:sz w:val="54"/>
          <w:szCs w:val="54"/>
        </w:rPr>
      </w:pPr>
      <w:r w:rsidRPr="00B662CC">
        <w:rPr>
          <w:rFonts w:ascii="宋体" w:eastAsia="宋体" w:hAnsi="宋体" w:cs="宋体"/>
          <w:kern w:val="0"/>
          <w:sz w:val="54"/>
          <w:szCs w:val="54"/>
        </w:rPr>
        <w:t>金融企业会计04</w:t>
      </w:r>
    </w:p>
    <w:p w:rsidR="00B662CC" w:rsidRPr="00B662CC" w:rsidRDefault="00B662CC" w:rsidP="00B662CC">
      <w:pPr>
        <w:widowControl/>
        <w:shd w:val="clear" w:color="auto" w:fill="EEF3F9"/>
        <w:jc w:val="center"/>
        <w:rPr>
          <w:rFonts w:ascii="宋体" w:eastAsia="宋体" w:hAnsi="宋体" w:cs="宋体"/>
          <w:kern w:val="0"/>
          <w:sz w:val="32"/>
          <w:szCs w:val="32"/>
        </w:rPr>
      </w:pPr>
      <w:r w:rsidRPr="00B662CC">
        <w:rPr>
          <w:rFonts w:ascii="宋体" w:eastAsia="宋体" w:hAnsi="宋体" w:cs="宋体"/>
          <w:kern w:val="0"/>
          <w:sz w:val="32"/>
          <w:szCs w:val="32"/>
        </w:rPr>
        <w:t>试卷总分：100</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br/>
      </w:r>
      <w:r w:rsidRPr="00B662CC">
        <w:rPr>
          <w:rFonts w:ascii="宋体" w:eastAsia="宋体" w:hAnsi="宋体" w:cs="宋体"/>
          <w:kern w:val="0"/>
          <w:sz w:val="45"/>
          <w:szCs w:val="45"/>
        </w:rPr>
        <w:br/>
        <w:t>1</w:t>
      </w:r>
    </w:p>
    <w:p w:rsidR="00B662CC" w:rsidRPr="00B662CC" w:rsidRDefault="00B662CC" w:rsidP="00B662CC">
      <w:pPr>
        <w:widowControl/>
        <w:shd w:val="clear" w:color="auto" w:fill="EEF3F9"/>
        <w:jc w:val="left"/>
        <w:rPr>
          <w:rFonts w:ascii="宋体" w:eastAsia="宋体" w:hAnsi="宋体" w:cs="宋体"/>
          <w:kern w:val="0"/>
          <w:sz w:val="45"/>
          <w:szCs w:val="45"/>
        </w:rPr>
      </w:pPr>
      <w:r w:rsidRPr="00B662CC">
        <w:rPr>
          <w:rFonts w:ascii="宋体" w:eastAsia="宋体" w:hAnsi="宋体" w:cs="宋体"/>
          <w:kern w:val="0"/>
          <w:sz w:val="45"/>
          <w:szCs w:val="45"/>
        </w:rPr>
        <w:lastRenderedPageBreak/>
        <w:t>简答题(共2题,共50分)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1.(25分)题干显示时间:0秒</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简述理财业务的作用。</w:t>
      </w:r>
      <w:r w:rsidRPr="00B662CC">
        <w:rPr>
          <w:rFonts w:ascii="宋体" w:eastAsia="宋体" w:hAnsi="宋体" w:cs="宋体" w:hint="eastAsia"/>
          <w:kern w:val="0"/>
          <w:sz w:val="32"/>
          <w:szCs w:val="32"/>
        </w:rPr>
        <w:br/>
        <w:t>答： （限99999字） 有利于充分发挥商业银行现有的渠道优势和客户优势，拓展商业银行的创新发展空间，改善商业银行的资产负债结构，有效节约资本，使之满足资本充足率监管要求；</w:t>
      </w:r>
      <w:r w:rsidRPr="00B662CC">
        <w:rPr>
          <w:rFonts w:ascii="宋体" w:eastAsia="宋体" w:hAnsi="宋体" w:cs="宋体" w:hint="eastAsia"/>
          <w:kern w:val="0"/>
          <w:sz w:val="32"/>
          <w:szCs w:val="32"/>
        </w:rPr>
        <w:br/>
        <w:t>可以增加商业银行中间业务收入来源，提高银行盈利水平；</w:t>
      </w:r>
      <w:r w:rsidRPr="00B662CC">
        <w:rPr>
          <w:rFonts w:ascii="宋体" w:eastAsia="宋体" w:hAnsi="宋体" w:cs="宋体" w:hint="eastAsia"/>
          <w:kern w:val="0"/>
          <w:sz w:val="32"/>
          <w:szCs w:val="32"/>
        </w:rPr>
        <w:br/>
        <w:t>由各种产品组成的理财计划使各类金融业务之间的关系更为密切，为商业银行向多元化、全能化方向发展奠定基础；</w:t>
      </w:r>
      <w:r w:rsidRPr="00B662CC">
        <w:rPr>
          <w:rFonts w:ascii="宋体" w:eastAsia="宋体" w:hAnsi="宋体" w:cs="宋体" w:hint="eastAsia"/>
          <w:kern w:val="0"/>
          <w:sz w:val="32"/>
          <w:szCs w:val="32"/>
        </w:rPr>
        <w:br/>
        <w:t>商业银行理财业务的实质是商业银行现代服务方式，有利于提高客户的忠诚度，吸引高端客户，改善商业银行的客户结构。</w:t>
      </w:r>
    </w:p>
    <w:p w:rsidR="00B662CC" w:rsidRPr="00B662CC" w:rsidRDefault="00B662CC" w:rsidP="00B662CC">
      <w:pPr>
        <w:widowControl/>
        <w:shd w:val="clear" w:color="auto" w:fill="EEF3F9"/>
        <w:jc w:val="left"/>
        <w:rPr>
          <w:rFonts w:ascii="宋体" w:eastAsia="宋体" w:hAnsi="宋体" w:cs="宋体" w:hint="eastAsia"/>
          <w:kern w:val="0"/>
          <w:sz w:val="32"/>
          <w:szCs w:val="32"/>
        </w:rPr>
      </w:pPr>
      <w:r w:rsidRPr="00B662CC">
        <w:rPr>
          <w:rFonts w:ascii="宋体" w:eastAsia="宋体" w:hAnsi="宋体" w:cs="宋体"/>
          <w:kern w:val="0"/>
          <w:sz w:val="32"/>
          <w:szCs w:val="32"/>
        </w:rPr>
        <w:t>2.(25分)题干显示时间:0秒</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简述外汇分账制的概念及其主要内容。</w:t>
      </w:r>
      <w:r w:rsidRPr="00B662CC">
        <w:rPr>
          <w:rFonts w:ascii="宋体" w:eastAsia="宋体" w:hAnsi="宋体" w:cs="宋体" w:hint="eastAsia"/>
          <w:kern w:val="0"/>
          <w:sz w:val="32"/>
          <w:szCs w:val="32"/>
        </w:rPr>
        <w:br/>
        <w:t>答： （限99999字） 答案（25分）</w:t>
      </w:r>
      <w:r w:rsidRPr="00B662CC">
        <w:rPr>
          <w:rFonts w:ascii="宋体" w:eastAsia="宋体" w:hAnsi="宋体" w:cs="宋体" w:hint="eastAsia"/>
          <w:kern w:val="0"/>
          <w:sz w:val="32"/>
          <w:szCs w:val="32"/>
        </w:rPr>
        <w:br/>
        <w:t>所谓外汇分账制是指外汇银行办理各项外汇业务时，所有账务组织和处理都以原币作为记账单位的外汇业务记账方法，即原币记账法。</w:t>
      </w:r>
      <w:r w:rsidRPr="00B662CC">
        <w:rPr>
          <w:rFonts w:ascii="宋体" w:eastAsia="宋体" w:hAnsi="宋体" w:cs="宋体" w:hint="eastAsia"/>
          <w:kern w:val="0"/>
          <w:sz w:val="32"/>
          <w:szCs w:val="32"/>
        </w:rPr>
        <w:br/>
        <w:t>其主要内容包括以下三点：人民币与外币分账；专门设置“外</w:t>
      </w:r>
      <w:r w:rsidRPr="00B662CC">
        <w:rPr>
          <w:rFonts w:ascii="宋体" w:eastAsia="宋体" w:hAnsi="宋体" w:cs="宋体" w:hint="eastAsia"/>
          <w:kern w:val="0"/>
          <w:sz w:val="32"/>
          <w:szCs w:val="32"/>
        </w:rPr>
        <w:lastRenderedPageBreak/>
        <w:t>汇买卖”科目，起桥梁和平衡作用；年终并表，以本币资金统一反映经营状况和财务成果。</w:t>
      </w:r>
    </w:p>
    <w:p w:rsidR="00B662CC" w:rsidRPr="00B662CC" w:rsidRDefault="00B662CC" w:rsidP="00B662CC">
      <w:pPr>
        <w:widowControl/>
        <w:shd w:val="clear" w:color="auto" w:fill="EEF3F9"/>
        <w:jc w:val="left"/>
        <w:rPr>
          <w:rFonts w:ascii="宋体" w:eastAsia="宋体" w:hAnsi="宋体" w:cs="宋体" w:hint="eastAsia"/>
          <w:kern w:val="0"/>
          <w:sz w:val="45"/>
          <w:szCs w:val="45"/>
        </w:rPr>
      </w:pPr>
      <w:r w:rsidRPr="00B662CC">
        <w:rPr>
          <w:rFonts w:ascii="宋体" w:eastAsia="宋体" w:hAnsi="宋体" w:cs="宋体"/>
          <w:kern w:val="0"/>
          <w:sz w:val="45"/>
          <w:szCs w:val="45"/>
        </w:rPr>
        <w:t>论述题(共1题,共25分)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3.(25分)题干显示时间:0秒</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试论述银行本票的基本规定。</w:t>
      </w:r>
      <w:r w:rsidRPr="00B662CC">
        <w:rPr>
          <w:rFonts w:ascii="宋体" w:eastAsia="宋体" w:hAnsi="宋体" w:cs="宋体" w:hint="eastAsia"/>
          <w:kern w:val="0"/>
          <w:sz w:val="32"/>
          <w:szCs w:val="32"/>
        </w:rPr>
        <w:br/>
        <w:t>答： （限99999字） 单位和个人再同一票据交换区域需要支付各种款项，均可使用银行本票；</w:t>
      </w:r>
      <w:r w:rsidRPr="00B662CC">
        <w:rPr>
          <w:rFonts w:ascii="宋体" w:eastAsia="宋体" w:hAnsi="宋体" w:cs="宋体" w:hint="eastAsia"/>
          <w:kern w:val="0"/>
          <w:sz w:val="32"/>
          <w:szCs w:val="32"/>
        </w:rPr>
        <w:br/>
        <w:t>银行本票出票人，为经人民银行当地分支机构批准办理银行本票业务的银行机构；</w:t>
      </w:r>
      <w:r w:rsidRPr="00B662CC">
        <w:rPr>
          <w:rFonts w:ascii="宋体" w:eastAsia="宋体" w:hAnsi="宋体" w:cs="宋体" w:hint="eastAsia"/>
          <w:kern w:val="0"/>
          <w:sz w:val="32"/>
          <w:szCs w:val="32"/>
        </w:rPr>
        <w:br/>
        <w:t>签发银行本票必须记载的各种事项；</w:t>
      </w:r>
      <w:r w:rsidRPr="00B662CC">
        <w:rPr>
          <w:rFonts w:ascii="宋体" w:eastAsia="宋体" w:hAnsi="宋体" w:cs="宋体" w:hint="eastAsia"/>
          <w:kern w:val="0"/>
          <w:sz w:val="32"/>
          <w:szCs w:val="32"/>
        </w:rPr>
        <w:br/>
        <w:t>签发银行本票应遵守的各项规定；</w:t>
      </w:r>
      <w:r w:rsidRPr="00B662CC">
        <w:rPr>
          <w:rFonts w:ascii="宋体" w:eastAsia="宋体" w:hAnsi="宋体" w:cs="宋体" w:hint="eastAsia"/>
          <w:kern w:val="0"/>
          <w:sz w:val="32"/>
          <w:szCs w:val="32"/>
        </w:rPr>
        <w:br/>
        <w:t>银行本票的提示付款日期自出票之日起最长不超过两个月；</w:t>
      </w:r>
      <w:r w:rsidRPr="00B662CC">
        <w:rPr>
          <w:rFonts w:ascii="宋体" w:eastAsia="宋体" w:hAnsi="宋体" w:cs="宋体" w:hint="eastAsia"/>
          <w:kern w:val="0"/>
          <w:sz w:val="32"/>
          <w:szCs w:val="32"/>
        </w:rPr>
        <w:br/>
        <w:t>持票人提示付款应遵守各项规定；</w:t>
      </w:r>
      <w:r w:rsidRPr="00B662CC">
        <w:rPr>
          <w:rFonts w:ascii="宋体" w:eastAsia="宋体" w:hAnsi="宋体" w:cs="宋体" w:hint="eastAsia"/>
          <w:kern w:val="0"/>
          <w:sz w:val="32"/>
          <w:szCs w:val="32"/>
        </w:rPr>
        <w:br/>
        <w:t>填明“现金”字样的银行本票不得背书转让；</w:t>
      </w:r>
      <w:r w:rsidRPr="00B662CC">
        <w:rPr>
          <w:rFonts w:ascii="宋体" w:eastAsia="宋体" w:hAnsi="宋体" w:cs="宋体" w:hint="eastAsia"/>
          <w:kern w:val="0"/>
          <w:sz w:val="32"/>
          <w:szCs w:val="32"/>
        </w:rPr>
        <w:br/>
        <w:t>跨系统银行本票的对付，持票人开户行课根据中国人民银行规定的金融机构同业往来利率向出票银行收取利息。</w:t>
      </w:r>
    </w:p>
    <w:p w:rsidR="00B662CC" w:rsidRPr="00B662CC" w:rsidRDefault="00B662CC" w:rsidP="00B662CC">
      <w:pPr>
        <w:widowControl/>
        <w:shd w:val="clear" w:color="auto" w:fill="EEF3F9"/>
        <w:jc w:val="left"/>
        <w:rPr>
          <w:rFonts w:ascii="宋体" w:eastAsia="宋体" w:hAnsi="宋体" w:cs="宋体" w:hint="eastAsia"/>
          <w:kern w:val="0"/>
          <w:sz w:val="45"/>
          <w:szCs w:val="45"/>
        </w:rPr>
      </w:pPr>
      <w:r w:rsidRPr="00B662CC">
        <w:rPr>
          <w:rFonts w:ascii="宋体" w:eastAsia="宋体" w:hAnsi="宋体" w:cs="宋体"/>
          <w:kern w:val="0"/>
          <w:sz w:val="45"/>
          <w:szCs w:val="45"/>
        </w:rPr>
        <w:t>业务题(共1题,共25分)</w:t>
      </w:r>
      <w:r w:rsidRPr="00B662CC">
        <w:rPr>
          <w:rFonts w:ascii="宋体" w:eastAsia="宋体" w:hAnsi="宋体" w:cs="宋体"/>
          <w:kern w:val="0"/>
          <w:sz w:val="23"/>
          <w:szCs w:val="23"/>
        </w:rPr>
        <w:br/>
      </w:r>
      <w:r w:rsidRPr="00B662CC">
        <w:rPr>
          <w:rFonts w:ascii="宋体" w:eastAsia="宋体" w:hAnsi="宋体" w:cs="宋体"/>
          <w:kern w:val="0"/>
          <w:sz w:val="23"/>
        </w:rPr>
        <w:t>开始说明：</w:t>
      </w:r>
      <w:r w:rsidRPr="00B662CC">
        <w:rPr>
          <w:rFonts w:ascii="宋体" w:eastAsia="宋体" w:hAnsi="宋体" w:cs="宋体"/>
          <w:kern w:val="0"/>
          <w:sz w:val="23"/>
          <w:szCs w:val="23"/>
        </w:rPr>
        <w:br/>
      </w:r>
      <w:r w:rsidRPr="00B662CC">
        <w:rPr>
          <w:rFonts w:ascii="宋体" w:eastAsia="宋体" w:hAnsi="宋体" w:cs="宋体"/>
          <w:kern w:val="0"/>
          <w:sz w:val="23"/>
        </w:rPr>
        <w:t>结束说明：</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kern w:val="0"/>
          <w:sz w:val="32"/>
          <w:szCs w:val="32"/>
        </w:rPr>
        <w:t>4.(25分)题干显示时间:0秒</w:t>
      </w:r>
    </w:p>
    <w:p w:rsidR="00B662CC" w:rsidRPr="00B662CC" w:rsidRDefault="00B662CC" w:rsidP="00B662CC">
      <w:pPr>
        <w:widowControl/>
        <w:shd w:val="clear" w:color="auto" w:fill="EEF3F9"/>
        <w:jc w:val="left"/>
        <w:rPr>
          <w:rFonts w:ascii="宋体" w:eastAsia="宋体" w:hAnsi="宋体" w:cs="宋体"/>
          <w:kern w:val="0"/>
          <w:sz w:val="32"/>
          <w:szCs w:val="32"/>
        </w:rPr>
      </w:pPr>
      <w:r w:rsidRPr="00B662CC">
        <w:rPr>
          <w:rFonts w:ascii="宋体" w:eastAsia="宋体" w:hAnsi="宋体" w:cs="宋体" w:hint="eastAsia"/>
          <w:kern w:val="0"/>
          <w:sz w:val="32"/>
          <w:szCs w:val="32"/>
        </w:rPr>
        <w:t xml:space="preserve">某人民币理财产品最高收益率为2.2%，该投资产品收益与相关信用主体的信用挂钩，某公司于5月6日投资该产品500 </w:t>
      </w:r>
      <w:r w:rsidRPr="00B662CC">
        <w:rPr>
          <w:rFonts w:ascii="宋体" w:eastAsia="宋体" w:hAnsi="宋体" w:cs="宋体" w:hint="eastAsia"/>
          <w:kern w:val="0"/>
          <w:sz w:val="32"/>
          <w:szCs w:val="32"/>
        </w:rPr>
        <w:lastRenderedPageBreak/>
        <w:t>000元，在有效期内相关主体没有发生信用违约事件，公司可以获得2.2%的年收益。要求编制相关的会计分录。</w:t>
      </w:r>
      <w:r w:rsidRPr="00B662CC">
        <w:rPr>
          <w:rFonts w:ascii="宋体" w:eastAsia="宋体" w:hAnsi="宋体" w:cs="宋体" w:hint="eastAsia"/>
          <w:kern w:val="0"/>
          <w:sz w:val="32"/>
          <w:szCs w:val="32"/>
        </w:rPr>
        <w:br/>
        <w:t>答： （限99999字） 购买该产品时：</w:t>
      </w:r>
      <w:r w:rsidRPr="00B662CC">
        <w:rPr>
          <w:rFonts w:ascii="宋体" w:eastAsia="宋体" w:hAnsi="宋体" w:cs="宋体" w:hint="eastAsia"/>
          <w:kern w:val="0"/>
          <w:sz w:val="32"/>
          <w:szCs w:val="32"/>
        </w:rPr>
        <w:br/>
        <w:t>借：活期存款----某客户        500 000.00</w:t>
      </w:r>
      <w:r w:rsidRPr="00B662CC">
        <w:rPr>
          <w:rFonts w:ascii="宋体" w:eastAsia="宋体" w:hAnsi="宋体" w:cs="宋体" w:hint="eastAsia"/>
          <w:kern w:val="0"/>
          <w:sz w:val="32"/>
          <w:szCs w:val="32"/>
        </w:rPr>
        <w:br/>
        <w:t>贷：信用联结理财定期保证金     500 000.00</w:t>
      </w:r>
      <w:r w:rsidRPr="00B662CC">
        <w:rPr>
          <w:rFonts w:ascii="宋体" w:eastAsia="宋体" w:hAnsi="宋体" w:cs="宋体" w:hint="eastAsia"/>
          <w:kern w:val="0"/>
          <w:sz w:val="32"/>
          <w:szCs w:val="32"/>
        </w:rPr>
        <w:br/>
        <w:t>得到收益时：</w:t>
      </w:r>
      <w:r w:rsidRPr="00B662CC">
        <w:rPr>
          <w:rFonts w:ascii="宋体" w:eastAsia="宋体" w:hAnsi="宋体" w:cs="宋体" w:hint="eastAsia"/>
          <w:kern w:val="0"/>
          <w:sz w:val="32"/>
          <w:szCs w:val="32"/>
        </w:rPr>
        <w:br/>
        <w:t>借：信用联结理财定期保证金    511 000.00</w:t>
      </w:r>
      <w:r w:rsidRPr="00B662CC">
        <w:rPr>
          <w:rFonts w:ascii="宋体" w:eastAsia="宋体" w:hAnsi="宋体" w:cs="宋体" w:hint="eastAsia"/>
          <w:kern w:val="0"/>
          <w:sz w:val="32"/>
          <w:szCs w:val="32"/>
        </w:rPr>
        <w:br/>
        <w:t>贷：待兑付对公理财资金           11 000.00</w:t>
      </w:r>
      <w:r w:rsidRPr="00B662CC">
        <w:rPr>
          <w:rFonts w:ascii="宋体" w:eastAsia="宋体" w:hAnsi="宋体" w:cs="宋体" w:hint="eastAsia"/>
          <w:kern w:val="0"/>
          <w:sz w:val="32"/>
          <w:szCs w:val="32"/>
        </w:rPr>
        <w:br/>
        <w:t>单位活期存款                500 000.00</w:t>
      </w:r>
    </w:p>
    <w:p w:rsidR="00645049" w:rsidRDefault="00645049"/>
    <w:sectPr w:rsidR="00645049" w:rsidSect="006450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62CC"/>
    <w:rsid w:val="00645049"/>
    <w:rsid w:val="00B662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0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662CC"/>
    <w:rPr>
      <w:sz w:val="12"/>
      <w:szCs w:val="12"/>
    </w:rPr>
  </w:style>
</w:styles>
</file>

<file path=word/webSettings.xml><?xml version="1.0" encoding="utf-8"?>
<w:webSettings xmlns:r="http://schemas.openxmlformats.org/officeDocument/2006/relationships" xmlns:w="http://schemas.openxmlformats.org/wordprocessingml/2006/main">
  <w:divs>
    <w:div w:id="61491955">
      <w:bodyDiv w:val="1"/>
      <w:marLeft w:val="0"/>
      <w:marRight w:val="0"/>
      <w:marTop w:val="0"/>
      <w:marBottom w:val="0"/>
      <w:divBdr>
        <w:top w:val="none" w:sz="0" w:space="0" w:color="auto"/>
        <w:left w:val="none" w:sz="0" w:space="0" w:color="auto"/>
        <w:bottom w:val="none" w:sz="0" w:space="0" w:color="auto"/>
        <w:right w:val="none" w:sz="0" w:space="0" w:color="auto"/>
      </w:divBdr>
      <w:divsChild>
        <w:div w:id="336805482">
          <w:marLeft w:val="0"/>
          <w:marRight w:val="0"/>
          <w:marTop w:val="0"/>
          <w:marBottom w:val="0"/>
          <w:divBdr>
            <w:top w:val="none" w:sz="0" w:space="0" w:color="auto"/>
            <w:left w:val="none" w:sz="0" w:space="0" w:color="auto"/>
            <w:bottom w:val="none" w:sz="0" w:space="0" w:color="auto"/>
            <w:right w:val="none" w:sz="0" w:space="0" w:color="auto"/>
          </w:divBdr>
          <w:divsChild>
            <w:div w:id="481701922">
              <w:marLeft w:val="0"/>
              <w:marRight w:val="0"/>
              <w:marTop w:val="0"/>
              <w:marBottom w:val="0"/>
              <w:divBdr>
                <w:top w:val="none" w:sz="0" w:space="0" w:color="auto"/>
                <w:left w:val="none" w:sz="0" w:space="0" w:color="auto"/>
                <w:bottom w:val="none" w:sz="0" w:space="0" w:color="auto"/>
                <w:right w:val="none" w:sz="0" w:space="0" w:color="auto"/>
              </w:divBdr>
              <w:divsChild>
                <w:div w:id="414325645">
                  <w:marLeft w:val="0"/>
                  <w:marRight w:val="0"/>
                  <w:marTop w:val="450"/>
                  <w:marBottom w:val="300"/>
                  <w:divBdr>
                    <w:top w:val="none" w:sz="0" w:space="0" w:color="auto"/>
                    <w:left w:val="none" w:sz="0" w:space="0" w:color="auto"/>
                    <w:bottom w:val="none" w:sz="0" w:space="0" w:color="auto"/>
                    <w:right w:val="none" w:sz="0" w:space="0" w:color="auto"/>
                  </w:divBdr>
                </w:div>
                <w:div w:id="176426200">
                  <w:marLeft w:val="0"/>
                  <w:marRight w:val="0"/>
                  <w:marTop w:val="0"/>
                  <w:marBottom w:val="450"/>
                  <w:divBdr>
                    <w:top w:val="none" w:sz="0" w:space="0" w:color="auto"/>
                    <w:left w:val="none" w:sz="0" w:space="0" w:color="auto"/>
                    <w:bottom w:val="none" w:sz="0" w:space="0" w:color="auto"/>
                    <w:right w:val="none" w:sz="0" w:space="0" w:color="auto"/>
                  </w:divBdr>
                </w:div>
                <w:div w:id="1259868134">
                  <w:marLeft w:val="525"/>
                  <w:marRight w:val="0"/>
                  <w:marTop w:val="300"/>
                  <w:marBottom w:val="300"/>
                  <w:divBdr>
                    <w:top w:val="none" w:sz="0" w:space="0" w:color="auto"/>
                    <w:left w:val="none" w:sz="0" w:space="0" w:color="auto"/>
                    <w:bottom w:val="none" w:sz="0" w:space="0" w:color="auto"/>
                    <w:right w:val="none" w:sz="0" w:space="0" w:color="auto"/>
                  </w:divBdr>
                </w:div>
                <w:div w:id="1828862274">
                  <w:marLeft w:val="525"/>
                  <w:marRight w:val="0"/>
                  <w:marTop w:val="300"/>
                  <w:marBottom w:val="300"/>
                  <w:divBdr>
                    <w:top w:val="none" w:sz="0" w:space="0" w:color="auto"/>
                    <w:left w:val="none" w:sz="0" w:space="0" w:color="auto"/>
                    <w:bottom w:val="none" w:sz="0" w:space="0" w:color="auto"/>
                    <w:right w:val="none" w:sz="0" w:space="0" w:color="auto"/>
                  </w:divBdr>
                </w:div>
                <w:div w:id="1901748038">
                  <w:marLeft w:val="0"/>
                  <w:marRight w:val="0"/>
                  <w:marTop w:val="0"/>
                  <w:marBottom w:val="0"/>
                  <w:divBdr>
                    <w:top w:val="none" w:sz="0" w:space="0" w:color="auto"/>
                    <w:left w:val="none" w:sz="0" w:space="0" w:color="auto"/>
                    <w:bottom w:val="none" w:sz="0" w:space="0" w:color="auto"/>
                    <w:right w:val="none" w:sz="0" w:space="0" w:color="auto"/>
                  </w:divBdr>
                  <w:divsChild>
                    <w:div w:id="737214538">
                      <w:marLeft w:val="900"/>
                      <w:marRight w:val="0"/>
                      <w:marTop w:val="0"/>
                      <w:marBottom w:val="300"/>
                      <w:divBdr>
                        <w:top w:val="none" w:sz="0" w:space="0" w:color="auto"/>
                        <w:left w:val="none" w:sz="0" w:space="0" w:color="auto"/>
                        <w:bottom w:val="none" w:sz="0" w:space="0" w:color="auto"/>
                        <w:right w:val="none" w:sz="0" w:space="0" w:color="auto"/>
                      </w:divBdr>
                    </w:div>
                    <w:div w:id="1578393865">
                      <w:marLeft w:val="1350"/>
                      <w:marRight w:val="0"/>
                      <w:marTop w:val="300"/>
                      <w:marBottom w:val="300"/>
                      <w:divBdr>
                        <w:top w:val="none" w:sz="0" w:space="0" w:color="auto"/>
                        <w:left w:val="none" w:sz="0" w:space="0" w:color="auto"/>
                        <w:bottom w:val="none" w:sz="0" w:space="0" w:color="auto"/>
                        <w:right w:val="none" w:sz="0" w:space="0" w:color="auto"/>
                      </w:divBdr>
                      <w:divsChild>
                        <w:div w:id="414673880">
                          <w:marLeft w:val="0"/>
                          <w:marRight w:val="0"/>
                          <w:marTop w:val="0"/>
                          <w:marBottom w:val="0"/>
                          <w:divBdr>
                            <w:top w:val="none" w:sz="0" w:space="0" w:color="auto"/>
                            <w:left w:val="none" w:sz="0" w:space="0" w:color="auto"/>
                            <w:bottom w:val="none" w:sz="0" w:space="0" w:color="auto"/>
                            <w:right w:val="none" w:sz="0" w:space="0" w:color="auto"/>
                          </w:divBdr>
                        </w:div>
                      </w:divsChild>
                    </w:div>
                    <w:div w:id="1201169380">
                      <w:marLeft w:val="900"/>
                      <w:marRight w:val="0"/>
                      <w:marTop w:val="0"/>
                      <w:marBottom w:val="300"/>
                      <w:divBdr>
                        <w:top w:val="none" w:sz="0" w:space="0" w:color="auto"/>
                        <w:left w:val="none" w:sz="0" w:space="0" w:color="auto"/>
                        <w:bottom w:val="none" w:sz="0" w:space="0" w:color="auto"/>
                        <w:right w:val="none" w:sz="0" w:space="0" w:color="auto"/>
                      </w:divBdr>
                    </w:div>
                    <w:div w:id="440951551">
                      <w:marLeft w:val="1350"/>
                      <w:marRight w:val="0"/>
                      <w:marTop w:val="300"/>
                      <w:marBottom w:val="300"/>
                      <w:divBdr>
                        <w:top w:val="none" w:sz="0" w:space="0" w:color="auto"/>
                        <w:left w:val="none" w:sz="0" w:space="0" w:color="auto"/>
                        <w:bottom w:val="none" w:sz="0" w:space="0" w:color="auto"/>
                        <w:right w:val="none" w:sz="0" w:space="0" w:color="auto"/>
                      </w:divBdr>
                      <w:divsChild>
                        <w:div w:id="960302709">
                          <w:marLeft w:val="0"/>
                          <w:marRight w:val="0"/>
                          <w:marTop w:val="0"/>
                          <w:marBottom w:val="0"/>
                          <w:divBdr>
                            <w:top w:val="none" w:sz="0" w:space="0" w:color="auto"/>
                            <w:left w:val="none" w:sz="0" w:space="0" w:color="auto"/>
                            <w:bottom w:val="none" w:sz="0" w:space="0" w:color="auto"/>
                            <w:right w:val="none" w:sz="0" w:space="0" w:color="auto"/>
                          </w:divBdr>
                        </w:div>
                      </w:divsChild>
                    </w:div>
                    <w:div w:id="1984264615">
                      <w:marLeft w:val="900"/>
                      <w:marRight w:val="0"/>
                      <w:marTop w:val="0"/>
                      <w:marBottom w:val="300"/>
                      <w:divBdr>
                        <w:top w:val="none" w:sz="0" w:space="0" w:color="auto"/>
                        <w:left w:val="none" w:sz="0" w:space="0" w:color="auto"/>
                        <w:bottom w:val="none" w:sz="0" w:space="0" w:color="auto"/>
                        <w:right w:val="none" w:sz="0" w:space="0" w:color="auto"/>
                      </w:divBdr>
                    </w:div>
                    <w:div w:id="1513452658">
                      <w:marLeft w:val="1350"/>
                      <w:marRight w:val="0"/>
                      <w:marTop w:val="300"/>
                      <w:marBottom w:val="300"/>
                      <w:divBdr>
                        <w:top w:val="none" w:sz="0" w:space="0" w:color="auto"/>
                        <w:left w:val="none" w:sz="0" w:space="0" w:color="auto"/>
                        <w:bottom w:val="none" w:sz="0" w:space="0" w:color="auto"/>
                        <w:right w:val="none" w:sz="0" w:space="0" w:color="auto"/>
                      </w:divBdr>
                      <w:divsChild>
                        <w:div w:id="798033152">
                          <w:marLeft w:val="0"/>
                          <w:marRight w:val="0"/>
                          <w:marTop w:val="0"/>
                          <w:marBottom w:val="0"/>
                          <w:divBdr>
                            <w:top w:val="none" w:sz="0" w:space="0" w:color="auto"/>
                            <w:left w:val="none" w:sz="0" w:space="0" w:color="auto"/>
                            <w:bottom w:val="none" w:sz="0" w:space="0" w:color="auto"/>
                            <w:right w:val="none" w:sz="0" w:space="0" w:color="auto"/>
                          </w:divBdr>
                        </w:div>
                      </w:divsChild>
                    </w:div>
                    <w:div w:id="1995330590">
                      <w:marLeft w:val="900"/>
                      <w:marRight w:val="0"/>
                      <w:marTop w:val="0"/>
                      <w:marBottom w:val="300"/>
                      <w:divBdr>
                        <w:top w:val="none" w:sz="0" w:space="0" w:color="auto"/>
                        <w:left w:val="none" w:sz="0" w:space="0" w:color="auto"/>
                        <w:bottom w:val="none" w:sz="0" w:space="0" w:color="auto"/>
                        <w:right w:val="none" w:sz="0" w:space="0" w:color="auto"/>
                      </w:divBdr>
                    </w:div>
                    <w:div w:id="1527256991">
                      <w:marLeft w:val="1350"/>
                      <w:marRight w:val="0"/>
                      <w:marTop w:val="300"/>
                      <w:marBottom w:val="300"/>
                      <w:divBdr>
                        <w:top w:val="none" w:sz="0" w:space="0" w:color="auto"/>
                        <w:left w:val="none" w:sz="0" w:space="0" w:color="auto"/>
                        <w:bottom w:val="none" w:sz="0" w:space="0" w:color="auto"/>
                        <w:right w:val="none" w:sz="0" w:space="0" w:color="auto"/>
                      </w:divBdr>
                      <w:divsChild>
                        <w:div w:id="563567368">
                          <w:marLeft w:val="0"/>
                          <w:marRight w:val="0"/>
                          <w:marTop w:val="0"/>
                          <w:marBottom w:val="0"/>
                          <w:divBdr>
                            <w:top w:val="none" w:sz="0" w:space="0" w:color="auto"/>
                            <w:left w:val="none" w:sz="0" w:space="0" w:color="auto"/>
                            <w:bottom w:val="none" w:sz="0" w:space="0" w:color="auto"/>
                            <w:right w:val="none" w:sz="0" w:space="0" w:color="auto"/>
                          </w:divBdr>
                        </w:div>
                      </w:divsChild>
                    </w:div>
                    <w:div w:id="1327902671">
                      <w:marLeft w:val="900"/>
                      <w:marRight w:val="0"/>
                      <w:marTop w:val="0"/>
                      <w:marBottom w:val="300"/>
                      <w:divBdr>
                        <w:top w:val="none" w:sz="0" w:space="0" w:color="auto"/>
                        <w:left w:val="none" w:sz="0" w:space="0" w:color="auto"/>
                        <w:bottom w:val="none" w:sz="0" w:space="0" w:color="auto"/>
                        <w:right w:val="none" w:sz="0" w:space="0" w:color="auto"/>
                      </w:divBdr>
                    </w:div>
                    <w:div w:id="1359307281">
                      <w:marLeft w:val="1350"/>
                      <w:marRight w:val="0"/>
                      <w:marTop w:val="300"/>
                      <w:marBottom w:val="300"/>
                      <w:divBdr>
                        <w:top w:val="none" w:sz="0" w:space="0" w:color="auto"/>
                        <w:left w:val="none" w:sz="0" w:space="0" w:color="auto"/>
                        <w:bottom w:val="none" w:sz="0" w:space="0" w:color="auto"/>
                        <w:right w:val="none" w:sz="0" w:space="0" w:color="auto"/>
                      </w:divBdr>
                      <w:divsChild>
                        <w:div w:id="696269897">
                          <w:marLeft w:val="0"/>
                          <w:marRight w:val="0"/>
                          <w:marTop w:val="0"/>
                          <w:marBottom w:val="0"/>
                          <w:divBdr>
                            <w:top w:val="none" w:sz="0" w:space="0" w:color="auto"/>
                            <w:left w:val="none" w:sz="0" w:space="0" w:color="auto"/>
                            <w:bottom w:val="none" w:sz="0" w:space="0" w:color="auto"/>
                            <w:right w:val="none" w:sz="0" w:space="0" w:color="auto"/>
                          </w:divBdr>
                        </w:div>
                      </w:divsChild>
                    </w:div>
                    <w:div w:id="1369910124">
                      <w:marLeft w:val="900"/>
                      <w:marRight w:val="0"/>
                      <w:marTop w:val="0"/>
                      <w:marBottom w:val="300"/>
                      <w:divBdr>
                        <w:top w:val="none" w:sz="0" w:space="0" w:color="auto"/>
                        <w:left w:val="none" w:sz="0" w:space="0" w:color="auto"/>
                        <w:bottom w:val="none" w:sz="0" w:space="0" w:color="auto"/>
                        <w:right w:val="none" w:sz="0" w:space="0" w:color="auto"/>
                      </w:divBdr>
                    </w:div>
                    <w:div w:id="1905875063">
                      <w:marLeft w:val="1350"/>
                      <w:marRight w:val="0"/>
                      <w:marTop w:val="300"/>
                      <w:marBottom w:val="300"/>
                      <w:divBdr>
                        <w:top w:val="none" w:sz="0" w:space="0" w:color="auto"/>
                        <w:left w:val="none" w:sz="0" w:space="0" w:color="auto"/>
                        <w:bottom w:val="none" w:sz="0" w:space="0" w:color="auto"/>
                        <w:right w:val="none" w:sz="0" w:space="0" w:color="auto"/>
                      </w:divBdr>
                      <w:divsChild>
                        <w:div w:id="161266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16734">
                  <w:marLeft w:val="525"/>
                  <w:marRight w:val="0"/>
                  <w:marTop w:val="300"/>
                  <w:marBottom w:val="300"/>
                  <w:divBdr>
                    <w:top w:val="none" w:sz="0" w:space="0" w:color="auto"/>
                    <w:left w:val="none" w:sz="0" w:space="0" w:color="auto"/>
                    <w:bottom w:val="none" w:sz="0" w:space="0" w:color="auto"/>
                    <w:right w:val="none" w:sz="0" w:space="0" w:color="auto"/>
                  </w:divBdr>
                </w:div>
                <w:div w:id="865824964">
                  <w:marLeft w:val="0"/>
                  <w:marRight w:val="0"/>
                  <w:marTop w:val="0"/>
                  <w:marBottom w:val="0"/>
                  <w:divBdr>
                    <w:top w:val="none" w:sz="0" w:space="0" w:color="auto"/>
                    <w:left w:val="none" w:sz="0" w:space="0" w:color="auto"/>
                    <w:bottom w:val="none" w:sz="0" w:space="0" w:color="auto"/>
                    <w:right w:val="none" w:sz="0" w:space="0" w:color="auto"/>
                  </w:divBdr>
                  <w:divsChild>
                    <w:div w:id="637221139">
                      <w:marLeft w:val="900"/>
                      <w:marRight w:val="0"/>
                      <w:marTop w:val="0"/>
                      <w:marBottom w:val="300"/>
                      <w:divBdr>
                        <w:top w:val="none" w:sz="0" w:space="0" w:color="auto"/>
                        <w:left w:val="none" w:sz="0" w:space="0" w:color="auto"/>
                        <w:bottom w:val="none" w:sz="0" w:space="0" w:color="auto"/>
                        <w:right w:val="none" w:sz="0" w:space="0" w:color="auto"/>
                      </w:divBdr>
                    </w:div>
                    <w:div w:id="710374400">
                      <w:marLeft w:val="1350"/>
                      <w:marRight w:val="0"/>
                      <w:marTop w:val="300"/>
                      <w:marBottom w:val="300"/>
                      <w:divBdr>
                        <w:top w:val="none" w:sz="0" w:space="0" w:color="auto"/>
                        <w:left w:val="none" w:sz="0" w:space="0" w:color="auto"/>
                        <w:bottom w:val="none" w:sz="0" w:space="0" w:color="auto"/>
                        <w:right w:val="none" w:sz="0" w:space="0" w:color="auto"/>
                      </w:divBdr>
                      <w:divsChild>
                        <w:div w:id="455951135">
                          <w:marLeft w:val="0"/>
                          <w:marRight w:val="0"/>
                          <w:marTop w:val="0"/>
                          <w:marBottom w:val="0"/>
                          <w:divBdr>
                            <w:top w:val="none" w:sz="0" w:space="0" w:color="auto"/>
                            <w:left w:val="none" w:sz="0" w:space="0" w:color="auto"/>
                            <w:bottom w:val="none" w:sz="0" w:space="0" w:color="auto"/>
                            <w:right w:val="none" w:sz="0" w:space="0" w:color="auto"/>
                          </w:divBdr>
                        </w:div>
                      </w:divsChild>
                    </w:div>
                    <w:div w:id="1018771197">
                      <w:marLeft w:val="900"/>
                      <w:marRight w:val="0"/>
                      <w:marTop w:val="0"/>
                      <w:marBottom w:val="300"/>
                      <w:divBdr>
                        <w:top w:val="none" w:sz="0" w:space="0" w:color="auto"/>
                        <w:left w:val="none" w:sz="0" w:space="0" w:color="auto"/>
                        <w:bottom w:val="none" w:sz="0" w:space="0" w:color="auto"/>
                        <w:right w:val="none" w:sz="0" w:space="0" w:color="auto"/>
                      </w:divBdr>
                    </w:div>
                    <w:div w:id="2141611892">
                      <w:marLeft w:val="1350"/>
                      <w:marRight w:val="0"/>
                      <w:marTop w:val="300"/>
                      <w:marBottom w:val="300"/>
                      <w:divBdr>
                        <w:top w:val="none" w:sz="0" w:space="0" w:color="auto"/>
                        <w:left w:val="none" w:sz="0" w:space="0" w:color="auto"/>
                        <w:bottom w:val="none" w:sz="0" w:space="0" w:color="auto"/>
                        <w:right w:val="none" w:sz="0" w:space="0" w:color="auto"/>
                      </w:divBdr>
                      <w:divsChild>
                        <w:div w:id="769086640">
                          <w:marLeft w:val="0"/>
                          <w:marRight w:val="0"/>
                          <w:marTop w:val="0"/>
                          <w:marBottom w:val="0"/>
                          <w:divBdr>
                            <w:top w:val="none" w:sz="0" w:space="0" w:color="auto"/>
                            <w:left w:val="none" w:sz="0" w:space="0" w:color="auto"/>
                            <w:bottom w:val="none" w:sz="0" w:space="0" w:color="auto"/>
                            <w:right w:val="none" w:sz="0" w:space="0" w:color="auto"/>
                          </w:divBdr>
                        </w:div>
                      </w:divsChild>
                    </w:div>
                    <w:div w:id="2073575145">
                      <w:marLeft w:val="900"/>
                      <w:marRight w:val="0"/>
                      <w:marTop w:val="0"/>
                      <w:marBottom w:val="300"/>
                      <w:divBdr>
                        <w:top w:val="none" w:sz="0" w:space="0" w:color="auto"/>
                        <w:left w:val="none" w:sz="0" w:space="0" w:color="auto"/>
                        <w:bottom w:val="none" w:sz="0" w:space="0" w:color="auto"/>
                        <w:right w:val="none" w:sz="0" w:space="0" w:color="auto"/>
                      </w:divBdr>
                    </w:div>
                    <w:div w:id="1713766942">
                      <w:marLeft w:val="1350"/>
                      <w:marRight w:val="0"/>
                      <w:marTop w:val="300"/>
                      <w:marBottom w:val="300"/>
                      <w:divBdr>
                        <w:top w:val="none" w:sz="0" w:space="0" w:color="auto"/>
                        <w:left w:val="none" w:sz="0" w:space="0" w:color="auto"/>
                        <w:bottom w:val="none" w:sz="0" w:space="0" w:color="auto"/>
                        <w:right w:val="none" w:sz="0" w:space="0" w:color="auto"/>
                      </w:divBdr>
                      <w:divsChild>
                        <w:div w:id="222444891">
                          <w:marLeft w:val="0"/>
                          <w:marRight w:val="0"/>
                          <w:marTop w:val="0"/>
                          <w:marBottom w:val="0"/>
                          <w:divBdr>
                            <w:top w:val="none" w:sz="0" w:space="0" w:color="auto"/>
                            <w:left w:val="none" w:sz="0" w:space="0" w:color="auto"/>
                            <w:bottom w:val="none" w:sz="0" w:space="0" w:color="auto"/>
                            <w:right w:val="none" w:sz="0" w:space="0" w:color="auto"/>
                          </w:divBdr>
                        </w:div>
                      </w:divsChild>
                    </w:div>
                    <w:div w:id="887961864">
                      <w:marLeft w:val="900"/>
                      <w:marRight w:val="0"/>
                      <w:marTop w:val="0"/>
                      <w:marBottom w:val="300"/>
                      <w:divBdr>
                        <w:top w:val="none" w:sz="0" w:space="0" w:color="auto"/>
                        <w:left w:val="none" w:sz="0" w:space="0" w:color="auto"/>
                        <w:bottom w:val="none" w:sz="0" w:space="0" w:color="auto"/>
                        <w:right w:val="none" w:sz="0" w:space="0" w:color="auto"/>
                      </w:divBdr>
                    </w:div>
                    <w:div w:id="960379127">
                      <w:marLeft w:val="1350"/>
                      <w:marRight w:val="0"/>
                      <w:marTop w:val="300"/>
                      <w:marBottom w:val="300"/>
                      <w:divBdr>
                        <w:top w:val="none" w:sz="0" w:space="0" w:color="auto"/>
                        <w:left w:val="none" w:sz="0" w:space="0" w:color="auto"/>
                        <w:bottom w:val="none" w:sz="0" w:space="0" w:color="auto"/>
                        <w:right w:val="none" w:sz="0" w:space="0" w:color="auto"/>
                      </w:divBdr>
                      <w:divsChild>
                        <w:div w:id="1903249031">
                          <w:marLeft w:val="0"/>
                          <w:marRight w:val="0"/>
                          <w:marTop w:val="0"/>
                          <w:marBottom w:val="0"/>
                          <w:divBdr>
                            <w:top w:val="none" w:sz="0" w:space="0" w:color="auto"/>
                            <w:left w:val="none" w:sz="0" w:space="0" w:color="auto"/>
                            <w:bottom w:val="none" w:sz="0" w:space="0" w:color="auto"/>
                            <w:right w:val="none" w:sz="0" w:space="0" w:color="auto"/>
                          </w:divBdr>
                        </w:div>
                      </w:divsChild>
                    </w:div>
                    <w:div w:id="1709988311">
                      <w:marLeft w:val="900"/>
                      <w:marRight w:val="0"/>
                      <w:marTop w:val="0"/>
                      <w:marBottom w:val="300"/>
                      <w:divBdr>
                        <w:top w:val="none" w:sz="0" w:space="0" w:color="auto"/>
                        <w:left w:val="none" w:sz="0" w:space="0" w:color="auto"/>
                        <w:bottom w:val="none" w:sz="0" w:space="0" w:color="auto"/>
                        <w:right w:val="none" w:sz="0" w:space="0" w:color="auto"/>
                      </w:divBdr>
                    </w:div>
                    <w:div w:id="1921017852">
                      <w:marLeft w:val="1350"/>
                      <w:marRight w:val="0"/>
                      <w:marTop w:val="300"/>
                      <w:marBottom w:val="300"/>
                      <w:divBdr>
                        <w:top w:val="none" w:sz="0" w:space="0" w:color="auto"/>
                        <w:left w:val="none" w:sz="0" w:space="0" w:color="auto"/>
                        <w:bottom w:val="none" w:sz="0" w:space="0" w:color="auto"/>
                        <w:right w:val="none" w:sz="0" w:space="0" w:color="auto"/>
                      </w:divBdr>
                      <w:divsChild>
                        <w:div w:id="735862066">
                          <w:marLeft w:val="0"/>
                          <w:marRight w:val="0"/>
                          <w:marTop w:val="0"/>
                          <w:marBottom w:val="0"/>
                          <w:divBdr>
                            <w:top w:val="none" w:sz="0" w:space="0" w:color="auto"/>
                            <w:left w:val="none" w:sz="0" w:space="0" w:color="auto"/>
                            <w:bottom w:val="none" w:sz="0" w:space="0" w:color="auto"/>
                            <w:right w:val="none" w:sz="0" w:space="0" w:color="auto"/>
                          </w:divBdr>
                        </w:div>
                      </w:divsChild>
                    </w:div>
                    <w:div w:id="1446657851">
                      <w:marLeft w:val="900"/>
                      <w:marRight w:val="0"/>
                      <w:marTop w:val="0"/>
                      <w:marBottom w:val="300"/>
                      <w:divBdr>
                        <w:top w:val="none" w:sz="0" w:space="0" w:color="auto"/>
                        <w:left w:val="none" w:sz="0" w:space="0" w:color="auto"/>
                        <w:bottom w:val="none" w:sz="0" w:space="0" w:color="auto"/>
                        <w:right w:val="none" w:sz="0" w:space="0" w:color="auto"/>
                      </w:divBdr>
                    </w:div>
                    <w:div w:id="2005860613">
                      <w:marLeft w:val="1350"/>
                      <w:marRight w:val="0"/>
                      <w:marTop w:val="300"/>
                      <w:marBottom w:val="300"/>
                      <w:divBdr>
                        <w:top w:val="none" w:sz="0" w:space="0" w:color="auto"/>
                        <w:left w:val="none" w:sz="0" w:space="0" w:color="auto"/>
                        <w:bottom w:val="none" w:sz="0" w:space="0" w:color="auto"/>
                        <w:right w:val="none" w:sz="0" w:space="0" w:color="auto"/>
                      </w:divBdr>
                      <w:divsChild>
                        <w:div w:id="11642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120834">
                  <w:marLeft w:val="525"/>
                  <w:marRight w:val="0"/>
                  <w:marTop w:val="300"/>
                  <w:marBottom w:val="300"/>
                  <w:divBdr>
                    <w:top w:val="none" w:sz="0" w:space="0" w:color="auto"/>
                    <w:left w:val="none" w:sz="0" w:space="0" w:color="auto"/>
                    <w:bottom w:val="none" w:sz="0" w:space="0" w:color="auto"/>
                    <w:right w:val="none" w:sz="0" w:space="0" w:color="auto"/>
                  </w:divBdr>
                </w:div>
                <w:div w:id="1352687493">
                  <w:marLeft w:val="0"/>
                  <w:marRight w:val="0"/>
                  <w:marTop w:val="0"/>
                  <w:marBottom w:val="0"/>
                  <w:divBdr>
                    <w:top w:val="none" w:sz="0" w:space="0" w:color="auto"/>
                    <w:left w:val="none" w:sz="0" w:space="0" w:color="auto"/>
                    <w:bottom w:val="none" w:sz="0" w:space="0" w:color="auto"/>
                    <w:right w:val="none" w:sz="0" w:space="0" w:color="auto"/>
                  </w:divBdr>
                  <w:divsChild>
                    <w:div w:id="1790857329">
                      <w:marLeft w:val="900"/>
                      <w:marRight w:val="0"/>
                      <w:marTop w:val="0"/>
                      <w:marBottom w:val="300"/>
                      <w:divBdr>
                        <w:top w:val="none" w:sz="0" w:space="0" w:color="auto"/>
                        <w:left w:val="none" w:sz="0" w:space="0" w:color="auto"/>
                        <w:bottom w:val="none" w:sz="0" w:space="0" w:color="auto"/>
                        <w:right w:val="none" w:sz="0" w:space="0" w:color="auto"/>
                      </w:divBdr>
                    </w:div>
                    <w:div w:id="1183319180">
                      <w:marLeft w:val="1350"/>
                      <w:marRight w:val="0"/>
                      <w:marTop w:val="300"/>
                      <w:marBottom w:val="300"/>
                      <w:divBdr>
                        <w:top w:val="none" w:sz="0" w:space="0" w:color="auto"/>
                        <w:left w:val="none" w:sz="0" w:space="0" w:color="auto"/>
                        <w:bottom w:val="none" w:sz="0" w:space="0" w:color="auto"/>
                        <w:right w:val="none" w:sz="0" w:space="0" w:color="auto"/>
                      </w:divBdr>
                      <w:divsChild>
                        <w:div w:id="539635036">
                          <w:marLeft w:val="0"/>
                          <w:marRight w:val="0"/>
                          <w:marTop w:val="0"/>
                          <w:marBottom w:val="0"/>
                          <w:divBdr>
                            <w:top w:val="none" w:sz="0" w:space="0" w:color="auto"/>
                            <w:left w:val="none" w:sz="0" w:space="0" w:color="auto"/>
                            <w:bottom w:val="none" w:sz="0" w:space="0" w:color="auto"/>
                            <w:right w:val="none" w:sz="0" w:space="0" w:color="auto"/>
                          </w:divBdr>
                        </w:div>
                      </w:divsChild>
                    </w:div>
                    <w:div w:id="2140562645">
                      <w:marLeft w:val="900"/>
                      <w:marRight w:val="0"/>
                      <w:marTop w:val="0"/>
                      <w:marBottom w:val="300"/>
                      <w:divBdr>
                        <w:top w:val="none" w:sz="0" w:space="0" w:color="auto"/>
                        <w:left w:val="none" w:sz="0" w:space="0" w:color="auto"/>
                        <w:bottom w:val="none" w:sz="0" w:space="0" w:color="auto"/>
                        <w:right w:val="none" w:sz="0" w:space="0" w:color="auto"/>
                      </w:divBdr>
                    </w:div>
                    <w:div w:id="335109148">
                      <w:marLeft w:val="1350"/>
                      <w:marRight w:val="0"/>
                      <w:marTop w:val="300"/>
                      <w:marBottom w:val="300"/>
                      <w:divBdr>
                        <w:top w:val="none" w:sz="0" w:space="0" w:color="auto"/>
                        <w:left w:val="none" w:sz="0" w:space="0" w:color="auto"/>
                        <w:bottom w:val="none" w:sz="0" w:space="0" w:color="auto"/>
                        <w:right w:val="none" w:sz="0" w:space="0" w:color="auto"/>
                      </w:divBdr>
                      <w:divsChild>
                        <w:div w:id="1549874270">
                          <w:marLeft w:val="0"/>
                          <w:marRight w:val="0"/>
                          <w:marTop w:val="0"/>
                          <w:marBottom w:val="0"/>
                          <w:divBdr>
                            <w:top w:val="none" w:sz="0" w:space="0" w:color="auto"/>
                            <w:left w:val="none" w:sz="0" w:space="0" w:color="auto"/>
                            <w:bottom w:val="none" w:sz="0" w:space="0" w:color="auto"/>
                            <w:right w:val="none" w:sz="0" w:space="0" w:color="auto"/>
                          </w:divBdr>
                        </w:div>
                      </w:divsChild>
                    </w:div>
                    <w:div w:id="1052339508">
                      <w:marLeft w:val="900"/>
                      <w:marRight w:val="0"/>
                      <w:marTop w:val="0"/>
                      <w:marBottom w:val="300"/>
                      <w:divBdr>
                        <w:top w:val="none" w:sz="0" w:space="0" w:color="auto"/>
                        <w:left w:val="none" w:sz="0" w:space="0" w:color="auto"/>
                        <w:bottom w:val="none" w:sz="0" w:space="0" w:color="auto"/>
                        <w:right w:val="none" w:sz="0" w:space="0" w:color="auto"/>
                      </w:divBdr>
                    </w:div>
                    <w:div w:id="118882774">
                      <w:marLeft w:val="1350"/>
                      <w:marRight w:val="0"/>
                      <w:marTop w:val="300"/>
                      <w:marBottom w:val="300"/>
                      <w:divBdr>
                        <w:top w:val="none" w:sz="0" w:space="0" w:color="auto"/>
                        <w:left w:val="none" w:sz="0" w:space="0" w:color="auto"/>
                        <w:bottom w:val="none" w:sz="0" w:space="0" w:color="auto"/>
                        <w:right w:val="none" w:sz="0" w:space="0" w:color="auto"/>
                      </w:divBdr>
                      <w:divsChild>
                        <w:div w:id="181165473">
                          <w:marLeft w:val="0"/>
                          <w:marRight w:val="0"/>
                          <w:marTop w:val="0"/>
                          <w:marBottom w:val="0"/>
                          <w:divBdr>
                            <w:top w:val="none" w:sz="0" w:space="0" w:color="auto"/>
                            <w:left w:val="none" w:sz="0" w:space="0" w:color="auto"/>
                            <w:bottom w:val="none" w:sz="0" w:space="0" w:color="auto"/>
                            <w:right w:val="none" w:sz="0" w:space="0" w:color="auto"/>
                          </w:divBdr>
                        </w:div>
                      </w:divsChild>
                    </w:div>
                    <w:div w:id="1782994728">
                      <w:marLeft w:val="900"/>
                      <w:marRight w:val="0"/>
                      <w:marTop w:val="0"/>
                      <w:marBottom w:val="300"/>
                      <w:divBdr>
                        <w:top w:val="none" w:sz="0" w:space="0" w:color="auto"/>
                        <w:left w:val="none" w:sz="0" w:space="0" w:color="auto"/>
                        <w:bottom w:val="none" w:sz="0" w:space="0" w:color="auto"/>
                        <w:right w:val="none" w:sz="0" w:space="0" w:color="auto"/>
                      </w:divBdr>
                    </w:div>
                    <w:div w:id="507714405">
                      <w:marLeft w:val="1350"/>
                      <w:marRight w:val="0"/>
                      <w:marTop w:val="300"/>
                      <w:marBottom w:val="300"/>
                      <w:divBdr>
                        <w:top w:val="none" w:sz="0" w:space="0" w:color="auto"/>
                        <w:left w:val="none" w:sz="0" w:space="0" w:color="auto"/>
                        <w:bottom w:val="none" w:sz="0" w:space="0" w:color="auto"/>
                        <w:right w:val="none" w:sz="0" w:space="0" w:color="auto"/>
                      </w:divBdr>
                      <w:divsChild>
                        <w:div w:id="1084374948">
                          <w:marLeft w:val="0"/>
                          <w:marRight w:val="0"/>
                          <w:marTop w:val="0"/>
                          <w:marBottom w:val="0"/>
                          <w:divBdr>
                            <w:top w:val="none" w:sz="0" w:space="0" w:color="auto"/>
                            <w:left w:val="none" w:sz="0" w:space="0" w:color="auto"/>
                            <w:bottom w:val="none" w:sz="0" w:space="0" w:color="auto"/>
                            <w:right w:val="none" w:sz="0" w:space="0" w:color="auto"/>
                          </w:divBdr>
                        </w:div>
                      </w:divsChild>
                    </w:div>
                    <w:div w:id="2054883354">
                      <w:marLeft w:val="900"/>
                      <w:marRight w:val="0"/>
                      <w:marTop w:val="0"/>
                      <w:marBottom w:val="300"/>
                      <w:divBdr>
                        <w:top w:val="none" w:sz="0" w:space="0" w:color="auto"/>
                        <w:left w:val="none" w:sz="0" w:space="0" w:color="auto"/>
                        <w:bottom w:val="none" w:sz="0" w:space="0" w:color="auto"/>
                        <w:right w:val="none" w:sz="0" w:space="0" w:color="auto"/>
                      </w:divBdr>
                    </w:div>
                    <w:div w:id="359938559">
                      <w:marLeft w:val="1350"/>
                      <w:marRight w:val="0"/>
                      <w:marTop w:val="300"/>
                      <w:marBottom w:val="300"/>
                      <w:divBdr>
                        <w:top w:val="none" w:sz="0" w:space="0" w:color="auto"/>
                        <w:left w:val="none" w:sz="0" w:space="0" w:color="auto"/>
                        <w:bottom w:val="none" w:sz="0" w:space="0" w:color="auto"/>
                        <w:right w:val="none" w:sz="0" w:space="0" w:color="auto"/>
                      </w:divBdr>
                      <w:divsChild>
                        <w:div w:id="1685470506">
                          <w:marLeft w:val="0"/>
                          <w:marRight w:val="0"/>
                          <w:marTop w:val="0"/>
                          <w:marBottom w:val="0"/>
                          <w:divBdr>
                            <w:top w:val="none" w:sz="0" w:space="0" w:color="auto"/>
                            <w:left w:val="none" w:sz="0" w:space="0" w:color="auto"/>
                            <w:bottom w:val="none" w:sz="0" w:space="0" w:color="auto"/>
                            <w:right w:val="none" w:sz="0" w:space="0" w:color="auto"/>
                          </w:divBdr>
                        </w:div>
                      </w:divsChild>
                    </w:div>
                    <w:div w:id="190261549">
                      <w:marLeft w:val="900"/>
                      <w:marRight w:val="0"/>
                      <w:marTop w:val="0"/>
                      <w:marBottom w:val="300"/>
                      <w:divBdr>
                        <w:top w:val="none" w:sz="0" w:space="0" w:color="auto"/>
                        <w:left w:val="none" w:sz="0" w:space="0" w:color="auto"/>
                        <w:bottom w:val="none" w:sz="0" w:space="0" w:color="auto"/>
                        <w:right w:val="none" w:sz="0" w:space="0" w:color="auto"/>
                      </w:divBdr>
                    </w:div>
                    <w:div w:id="2115518901">
                      <w:marLeft w:val="1350"/>
                      <w:marRight w:val="0"/>
                      <w:marTop w:val="300"/>
                      <w:marBottom w:val="300"/>
                      <w:divBdr>
                        <w:top w:val="none" w:sz="0" w:space="0" w:color="auto"/>
                        <w:left w:val="none" w:sz="0" w:space="0" w:color="auto"/>
                        <w:bottom w:val="none" w:sz="0" w:space="0" w:color="auto"/>
                        <w:right w:val="none" w:sz="0" w:space="0" w:color="auto"/>
                      </w:divBdr>
                      <w:divsChild>
                        <w:div w:id="1178226530">
                          <w:marLeft w:val="0"/>
                          <w:marRight w:val="0"/>
                          <w:marTop w:val="0"/>
                          <w:marBottom w:val="0"/>
                          <w:divBdr>
                            <w:top w:val="none" w:sz="0" w:space="0" w:color="auto"/>
                            <w:left w:val="none" w:sz="0" w:space="0" w:color="auto"/>
                            <w:bottom w:val="none" w:sz="0" w:space="0" w:color="auto"/>
                            <w:right w:val="none" w:sz="0" w:space="0" w:color="auto"/>
                          </w:divBdr>
                        </w:div>
                      </w:divsChild>
                    </w:div>
                    <w:div w:id="1691108171">
                      <w:marLeft w:val="900"/>
                      <w:marRight w:val="0"/>
                      <w:marTop w:val="0"/>
                      <w:marBottom w:val="300"/>
                      <w:divBdr>
                        <w:top w:val="none" w:sz="0" w:space="0" w:color="auto"/>
                        <w:left w:val="none" w:sz="0" w:space="0" w:color="auto"/>
                        <w:bottom w:val="none" w:sz="0" w:space="0" w:color="auto"/>
                        <w:right w:val="none" w:sz="0" w:space="0" w:color="auto"/>
                      </w:divBdr>
                    </w:div>
                    <w:div w:id="1591111928">
                      <w:marLeft w:val="1350"/>
                      <w:marRight w:val="0"/>
                      <w:marTop w:val="300"/>
                      <w:marBottom w:val="300"/>
                      <w:divBdr>
                        <w:top w:val="none" w:sz="0" w:space="0" w:color="auto"/>
                        <w:left w:val="none" w:sz="0" w:space="0" w:color="auto"/>
                        <w:bottom w:val="none" w:sz="0" w:space="0" w:color="auto"/>
                        <w:right w:val="none" w:sz="0" w:space="0" w:color="auto"/>
                      </w:divBdr>
                      <w:divsChild>
                        <w:div w:id="1100488318">
                          <w:marLeft w:val="0"/>
                          <w:marRight w:val="0"/>
                          <w:marTop w:val="0"/>
                          <w:marBottom w:val="0"/>
                          <w:divBdr>
                            <w:top w:val="none" w:sz="0" w:space="0" w:color="auto"/>
                            <w:left w:val="none" w:sz="0" w:space="0" w:color="auto"/>
                            <w:bottom w:val="none" w:sz="0" w:space="0" w:color="auto"/>
                            <w:right w:val="none" w:sz="0" w:space="0" w:color="auto"/>
                          </w:divBdr>
                        </w:div>
                      </w:divsChild>
                    </w:div>
                    <w:div w:id="137377554">
                      <w:marLeft w:val="900"/>
                      <w:marRight w:val="0"/>
                      <w:marTop w:val="0"/>
                      <w:marBottom w:val="300"/>
                      <w:divBdr>
                        <w:top w:val="none" w:sz="0" w:space="0" w:color="auto"/>
                        <w:left w:val="none" w:sz="0" w:space="0" w:color="auto"/>
                        <w:bottom w:val="none" w:sz="0" w:space="0" w:color="auto"/>
                        <w:right w:val="none" w:sz="0" w:space="0" w:color="auto"/>
                      </w:divBdr>
                    </w:div>
                    <w:div w:id="122235789">
                      <w:marLeft w:val="1350"/>
                      <w:marRight w:val="0"/>
                      <w:marTop w:val="300"/>
                      <w:marBottom w:val="300"/>
                      <w:divBdr>
                        <w:top w:val="none" w:sz="0" w:space="0" w:color="auto"/>
                        <w:left w:val="none" w:sz="0" w:space="0" w:color="auto"/>
                        <w:bottom w:val="none" w:sz="0" w:space="0" w:color="auto"/>
                        <w:right w:val="none" w:sz="0" w:space="0" w:color="auto"/>
                      </w:divBdr>
                      <w:divsChild>
                        <w:div w:id="1230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384954">
      <w:bodyDiv w:val="1"/>
      <w:marLeft w:val="0"/>
      <w:marRight w:val="0"/>
      <w:marTop w:val="0"/>
      <w:marBottom w:val="0"/>
      <w:divBdr>
        <w:top w:val="none" w:sz="0" w:space="0" w:color="auto"/>
        <w:left w:val="none" w:sz="0" w:space="0" w:color="auto"/>
        <w:bottom w:val="none" w:sz="0" w:space="0" w:color="auto"/>
        <w:right w:val="none" w:sz="0" w:space="0" w:color="auto"/>
      </w:divBdr>
      <w:divsChild>
        <w:div w:id="1600018583">
          <w:marLeft w:val="0"/>
          <w:marRight w:val="0"/>
          <w:marTop w:val="0"/>
          <w:marBottom w:val="0"/>
          <w:divBdr>
            <w:top w:val="none" w:sz="0" w:space="0" w:color="auto"/>
            <w:left w:val="none" w:sz="0" w:space="0" w:color="auto"/>
            <w:bottom w:val="none" w:sz="0" w:space="0" w:color="auto"/>
            <w:right w:val="none" w:sz="0" w:space="0" w:color="auto"/>
          </w:divBdr>
          <w:divsChild>
            <w:div w:id="1574311726">
              <w:marLeft w:val="0"/>
              <w:marRight w:val="0"/>
              <w:marTop w:val="0"/>
              <w:marBottom w:val="0"/>
              <w:divBdr>
                <w:top w:val="none" w:sz="0" w:space="0" w:color="auto"/>
                <w:left w:val="none" w:sz="0" w:space="0" w:color="auto"/>
                <w:bottom w:val="none" w:sz="0" w:space="0" w:color="auto"/>
                <w:right w:val="none" w:sz="0" w:space="0" w:color="auto"/>
              </w:divBdr>
              <w:divsChild>
                <w:div w:id="1871257234">
                  <w:marLeft w:val="0"/>
                  <w:marRight w:val="0"/>
                  <w:marTop w:val="450"/>
                  <w:marBottom w:val="300"/>
                  <w:divBdr>
                    <w:top w:val="none" w:sz="0" w:space="0" w:color="auto"/>
                    <w:left w:val="none" w:sz="0" w:space="0" w:color="auto"/>
                    <w:bottom w:val="none" w:sz="0" w:space="0" w:color="auto"/>
                    <w:right w:val="none" w:sz="0" w:space="0" w:color="auto"/>
                  </w:divBdr>
                </w:div>
                <w:div w:id="1278220994">
                  <w:marLeft w:val="0"/>
                  <w:marRight w:val="0"/>
                  <w:marTop w:val="0"/>
                  <w:marBottom w:val="450"/>
                  <w:divBdr>
                    <w:top w:val="none" w:sz="0" w:space="0" w:color="auto"/>
                    <w:left w:val="none" w:sz="0" w:space="0" w:color="auto"/>
                    <w:bottom w:val="none" w:sz="0" w:space="0" w:color="auto"/>
                    <w:right w:val="none" w:sz="0" w:space="0" w:color="auto"/>
                  </w:divBdr>
                </w:div>
                <w:div w:id="211622669">
                  <w:marLeft w:val="525"/>
                  <w:marRight w:val="0"/>
                  <w:marTop w:val="300"/>
                  <w:marBottom w:val="300"/>
                  <w:divBdr>
                    <w:top w:val="none" w:sz="0" w:space="0" w:color="auto"/>
                    <w:left w:val="none" w:sz="0" w:space="0" w:color="auto"/>
                    <w:bottom w:val="none" w:sz="0" w:space="0" w:color="auto"/>
                    <w:right w:val="none" w:sz="0" w:space="0" w:color="auto"/>
                  </w:divBdr>
                </w:div>
                <w:div w:id="1446390598">
                  <w:marLeft w:val="525"/>
                  <w:marRight w:val="0"/>
                  <w:marTop w:val="300"/>
                  <w:marBottom w:val="300"/>
                  <w:divBdr>
                    <w:top w:val="none" w:sz="0" w:space="0" w:color="auto"/>
                    <w:left w:val="none" w:sz="0" w:space="0" w:color="auto"/>
                    <w:bottom w:val="none" w:sz="0" w:space="0" w:color="auto"/>
                    <w:right w:val="none" w:sz="0" w:space="0" w:color="auto"/>
                  </w:divBdr>
                </w:div>
                <w:div w:id="321590525">
                  <w:marLeft w:val="0"/>
                  <w:marRight w:val="0"/>
                  <w:marTop w:val="0"/>
                  <w:marBottom w:val="0"/>
                  <w:divBdr>
                    <w:top w:val="none" w:sz="0" w:space="0" w:color="auto"/>
                    <w:left w:val="none" w:sz="0" w:space="0" w:color="auto"/>
                    <w:bottom w:val="none" w:sz="0" w:space="0" w:color="auto"/>
                    <w:right w:val="none" w:sz="0" w:space="0" w:color="auto"/>
                  </w:divBdr>
                  <w:divsChild>
                    <w:div w:id="704448061">
                      <w:marLeft w:val="900"/>
                      <w:marRight w:val="0"/>
                      <w:marTop w:val="0"/>
                      <w:marBottom w:val="300"/>
                      <w:divBdr>
                        <w:top w:val="none" w:sz="0" w:space="0" w:color="auto"/>
                        <w:left w:val="none" w:sz="0" w:space="0" w:color="auto"/>
                        <w:bottom w:val="none" w:sz="0" w:space="0" w:color="auto"/>
                        <w:right w:val="none" w:sz="0" w:space="0" w:color="auto"/>
                      </w:divBdr>
                    </w:div>
                    <w:div w:id="851845841">
                      <w:marLeft w:val="1350"/>
                      <w:marRight w:val="0"/>
                      <w:marTop w:val="300"/>
                      <w:marBottom w:val="300"/>
                      <w:divBdr>
                        <w:top w:val="none" w:sz="0" w:space="0" w:color="auto"/>
                        <w:left w:val="none" w:sz="0" w:space="0" w:color="auto"/>
                        <w:bottom w:val="none" w:sz="0" w:space="0" w:color="auto"/>
                        <w:right w:val="none" w:sz="0" w:space="0" w:color="auto"/>
                      </w:divBdr>
                      <w:divsChild>
                        <w:div w:id="1625306417">
                          <w:marLeft w:val="0"/>
                          <w:marRight w:val="0"/>
                          <w:marTop w:val="0"/>
                          <w:marBottom w:val="0"/>
                          <w:divBdr>
                            <w:top w:val="none" w:sz="0" w:space="0" w:color="auto"/>
                            <w:left w:val="none" w:sz="0" w:space="0" w:color="auto"/>
                            <w:bottom w:val="none" w:sz="0" w:space="0" w:color="auto"/>
                            <w:right w:val="none" w:sz="0" w:space="0" w:color="auto"/>
                          </w:divBdr>
                        </w:div>
                      </w:divsChild>
                    </w:div>
                    <w:div w:id="1187793669">
                      <w:marLeft w:val="900"/>
                      <w:marRight w:val="0"/>
                      <w:marTop w:val="0"/>
                      <w:marBottom w:val="300"/>
                      <w:divBdr>
                        <w:top w:val="none" w:sz="0" w:space="0" w:color="auto"/>
                        <w:left w:val="none" w:sz="0" w:space="0" w:color="auto"/>
                        <w:bottom w:val="none" w:sz="0" w:space="0" w:color="auto"/>
                        <w:right w:val="none" w:sz="0" w:space="0" w:color="auto"/>
                      </w:divBdr>
                    </w:div>
                    <w:div w:id="898050947">
                      <w:marLeft w:val="1350"/>
                      <w:marRight w:val="0"/>
                      <w:marTop w:val="300"/>
                      <w:marBottom w:val="300"/>
                      <w:divBdr>
                        <w:top w:val="none" w:sz="0" w:space="0" w:color="auto"/>
                        <w:left w:val="none" w:sz="0" w:space="0" w:color="auto"/>
                        <w:bottom w:val="none" w:sz="0" w:space="0" w:color="auto"/>
                        <w:right w:val="none" w:sz="0" w:space="0" w:color="auto"/>
                      </w:divBdr>
                      <w:divsChild>
                        <w:div w:id="340934548">
                          <w:marLeft w:val="0"/>
                          <w:marRight w:val="0"/>
                          <w:marTop w:val="0"/>
                          <w:marBottom w:val="0"/>
                          <w:divBdr>
                            <w:top w:val="none" w:sz="0" w:space="0" w:color="auto"/>
                            <w:left w:val="none" w:sz="0" w:space="0" w:color="auto"/>
                            <w:bottom w:val="none" w:sz="0" w:space="0" w:color="auto"/>
                            <w:right w:val="none" w:sz="0" w:space="0" w:color="auto"/>
                          </w:divBdr>
                        </w:div>
                      </w:divsChild>
                    </w:div>
                    <w:div w:id="1131943383">
                      <w:marLeft w:val="900"/>
                      <w:marRight w:val="0"/>
                      <w:marTop w:val="0"/>
                      <w:marBottom w:val="300"/>
                      <w:divBdr>
                        <w:top w:val="none" w:sz="0" w:space="0" w:color="auto"/>
                        <w:left w:val="none" w:sz="0" w:space="0" w:color="auto"/>
                        <w:bottom w:val="none" w:sz="0" w:space="0" w:color="auto"/>
                        <w:right w:val="none" w:sz="0" w:space="0" w:color="auto"/>
                      </w:divBdr>
                    </w:div>
                    <w:div w:id="1295792530">
                      <w:marLeft w:val="1350"/>
                      <w:marRight w:val="0"/>
                      <w:marTop w:val="300"/>
                      <w:marBottom w:val="300"/>
                      <w:divBdr>
                        <w:top w:val="none" w:sz="0" w:space="0" w:color="auto"/>
                        <w:left w:val="none" w:sz="0" w:space="0" w:color="auto"/>
                        <w:bottom w:val="none" w:sz="0" w:space="0" w:color="auto"/>
                        <w:right w:val="none" w:sz="0" w:space="0" w:color="auto"/>
                      </w:divBdr>
                      <w:divsChild>
                        <w:div w:id="1635670498">
                          <w:marLeft w:val="0"/>
                          <w:marRight w:val="0"/>
                          <w:marTop w:val="0"/>
                          <w:marBottom w:val="0"/>
                          <w:divBdr>
                            <w:top w:val="none" w:sz="0" w:space="0" w:color="auto"/>
                            <w:left w:val="none" w:sz="0" w:space="0" w:color="auto"/>
                            <w:bottom w:val="none" w:sz="0" w:space="0" w:color="auto"/>
                            <w:right w:val="none" w:sz="0" w:space="0" w:color="auto"/>
                          </w:divBdr>
                        </w:div>
                      </w:divsChild>
                    </w:div>
                    <w:div w:id="942345194">
                      <w:marLeft w:val="900"/>
                      <w:marRight w:val="0"/>
                      <w:marTop w:val="0"/>
                      <w:marBottom w:val="300"/>
                      <w:divBdr>
                        <w:top w:val="none" w:sz="0" w:space="0" w:color="auto"/>
                        <w:left w:val="none" w:sz="0" w:space="0" w:color="auto"/>
                        <w:bottom w:val="none" w:sz="0" w:space="0" w:color="auto"/>
                        <w:right w:val="none" w:sz="0" w:space="0" w:color="auto"/>
                      </w:divBdr>
                    </w:div>
                    <w:div w:id="210847013">
                      <w:marLeft w:val="1350"/>
                      <w:marRight w:val="0"/>
                      <w:marTop w:val="300"/>
                      <w:marBottom w:val="300"/>
                      <w:divBdr>
                        <w:top w:val="none" w:sz="0" w:space="0" w:color="auto"/>
                        <w:left w:val="none" w:sz="0" w:space="0" w:color="auto"/>
                        <w:bottom w:val="none" w:sz="0" w:space="0" w:color="auto"/>
                        <w:right w:val="none" w:sz="0" w:space="0" w:color="auto"/>
                      </w:divBdr>
                      <w:divsChild>
                        <w:div w:id="621883773">
                          <w:marLeft w:val="0"/>
                          <w:marRight w:val="0"/>
                          <w:marTop w:val="0"/>
                          <w:marBottom w:val="0"/>
                          <w:divBdr>
                            <w:top w:val="none" w:sz="0" w:space="0" w:color="auto"/>
                            <w:left w:val="none" w:sz="0" w:space="0" w:color="auto"/>
                            <w:bottom w:val="none" w:sz="0" w:space="0" w:color="auto"/>
                            <w:right w:val="none" w:sz="0" w:space="0" w:color="auto"/>
                          </w:divBdr>
                        </w:div>
                      </w:divsChild>
                    </w:div>
                    <w:div w:id="800879571">
                      <w:marLeft w:val="900"/>
                      <w:marRight w:val="0"/>
                      <w:marTop w:val="0"/>
                      <w:marBottom w:val="300"/>
                      <w:divBdr>
                        <w:top w:val="none" w:sz="0" w:space="0" w:color="auto"/>
                        <w:left w:val="none" w:sz="0" w:space="0" w:color="auto"/>
                        <w:bottom w:val="none" w:sz="0" w:space="0" w:color="auto"/>
                        <w:right w:val="none" w:sz="0" w:space="0" w:color="auto"/>
                      </w:divBdr>
                    </w:div>
                    <w:div w:id="1257135009">
                      <w:marLeft w:val="1350"/>
                      <w:marRight w:val="0"/>
                      <w:marTop w:val="300"/>
                      <w:marBottom w:val="300"/>
                      <w:divBdr>
                        <w:top w:val="none" w:sz="0" w:space="0" w:color="auto"/>
                        <w:left w:val="none" w:sz="0" w:space="0" w:color="auto"/>
                        <w:bottom w:val="none" w:sz="0" w:space="0" w:color="auto"/>
                        <w:right w:val="none" w:sz="0" w:space="0" w:color="auto"/>
                      </w:divBdr>
                      <w:divsChild>
                        <w:div w:id="39676444">
                          <w:marLeft w:val="0"/>
                          <w:marRight w:val="0"/>
                          <w:marTop w:val="0"/>
                          <w:marBottom w:val="0"/>
                          <w:divBdr>
                            <w:top w:val="none" w:sz="0" w:space="0" w:color="auto"/>
                            <w:left w:val="none" w:sz="0" w:space="0" w:color="auto"/>
                            <w:bottom w:val="none" w:sz="0" w:space="0" w:color="auto"/>
                            <w:right w:val="none" w:sz="0" w:space="0" w:color="auto"/>
                          </w:divBdr>
                        </w:div>
                      </w:divsChild>
                    </w:div>
                    <w:div w:id="1155146023">
                      <w:marLeft w:val="900"/>
                      <w:marRight w:val="0"/>
                      <w:marTop w:val="0"/>
                      <w:marBottom w:val="300"/>
                      <w:divBdr>
                        <w:top w:val="none" w:sz="0" w:space="0" w:color="auto"/>
                        <w:left w:val="none" w:sz="0" w:space="0" w:color="auto"/>
                        <w:bottom w:val="none" w:sz="0" w:space="0" w:color="auto"/>
                        <w:right w:val="none" w:sz="0" w:space="0" w:color="auto"/>
                      </w:divBdr>
                    </w:div>
                    <w:div w:id="1521162165">
                      <w:marLeft w:val="1350"/>
                      <w:marRight w:val="0"/>
                      <w:marTop w:val="300"/>
                      <w:marBottom w:val="300"/>
                      <w:divBdr>
                        <w:top w:val="none" w:sz="0" w:space="0" w:color="auto"/>
                        <w:left w:val="none" w:sz="0" w:space="0" w:color="auto"/>
                        <w:bottom w:val="none" w:sz="0" w:space="0" w:color="auto"/>
                        <w:right w:val="none" w:sz="0" w:space="0" w:color="auto"/>
                      </w:divBdr>
                      <w:divsChild>
                        <w:div w:id="150408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424665">
                  <w:marLeft w:val="525"/>
                  <w:marRight w:val="0"/>
                  <w:marTop w:val="300"/>
                  <w:marBottom w:val="300"/>
                  <w:divBdr>
                    <w:top w:val="none" w:sz="0" w:space="0" w:color="auto"/>
                    <w:left w:val="none" w:sz="0" w:space="0" w:color="auto"/>
                    <w:bottom w:val="none" w:sz="0" w:space="0" w:color="auto"/>
                    <w:right w:val="none" w:sz="0" w:space="0" w:color="auto"/>
                  </w:divBdr>
                </w:div>
                <w:div w:id="1944876323">
                  <w:marLeft w:val="0"/>
                  <w:marRight w:val="0"/>
                  <w:marTop w:val="0"/>
                  <w:marBottom w:val="0"/>
                  <w:divBdr>
                    <w:top w:val="none" w:sz="0" w:space="0" w:color="auto"/>
                    <w:left w:val="none" w:sz="0" w:space="0" w:color="auto"/>
                    <w:bottom w:val="none" w:sz="0" w:space="0" w:color="auto"/>
                    <w:right w:val="none" w:sz="0" w:space="0" w:color="auto"/>
                  </w:divBdr>
                  <w:divsChild>
                    <w:div w:id="1667511187">
                      <w:marLeft w:val="900"/>
                      <w:marRight w:val="0"/>
                      <w:marTop w:val="0"/>
                      <w:marBottom w:val="300"/>
                      <w:divBdr>
                        <w:top w:val="none" w:sz="0" w:space="0" w:color="auto"/>
                        <w:left w:val="none" w:sz="0" w:space="0" w:color="auto"/>
                        <w:bottom w:val="none" w:sz="0" w:space="0" w:color="auto"/>
                        <w:right w:val="none" w:sz="0" w:space="0" w:color="auto"/>
                      </w:divBdr>
                    </w:div>
                    <w:div w:id="527525156">
                      <w:marLeft w:val="1350"/>
                      <w:marRight w:val="0"/>
                      <w:marTop w:val="300"/>
                      <w:marBottom w:val="300"/>
                      <w:divBdr>
                        <w:top w:val="none" w:sz="0" w:space="0" w:color="auto"/>
                        <w:left w:val="none" w:sz="0" w:space="0" w:color="auto"/>
                        <w:bottom w:val="none" w:sz="0" w:space="0" w:color="auto"/>
                        <w:right w:val="none" w:sz="0" w:space="0" w:color="auto"/>
                      </w:divBdr>
                      <w:divsChild>
                        <w:div w:id="523638796">
                          <w:marLeft w:val="0"/>
                          <w:marRight w:val="0"/>
                          <w:marTop w:val="0"/>
                          <w:marBottom w:val="0"/>
                          <w:divBdr>
                            <w:top w:val="none" w:sz="0" w:space="0" w:color="auto"/>
                            <w:left w:val="none" w:sz="0" w:space="0" w:color="auto"/>
                            <w:bottom w:val="none" w:sz="0" w:space="0" w:color="auto"/>
                            <w:right w:val="none" w:sz="0" w:space="0" w:color="auto"/>
                          </w:divBdr>
                        </w:div>
                      </w:divsChild>
                    </w:div>
                    <w:div w:id="726680708">
                      <w:marLeft w:val="900"/>
                      <w:marRight w:val="0"/>
                      <w:marTop w:val="0"/>
                      <w:marBottom w:val="300"/>
                      <w:divBdr>
                        <w:top w:val="none" w:sz="0" w:space="0" w:color="auto"/>
                        <w:left w:val="none" w:sz="0" w:space="0" w:color="auto"/>
                        <w:bottom w:val="none" w:sz="0" w:space="0" w:color="auto"/>
                        <w:right w:val="none" w:sz="0" w:space="0" w:color="auto"/>
                      </w:divBdr>
                    </w:div>
                    <w:div w:id="1377199153">
                      <w:marLeft w:val="1350"/>
                      <w:marRight w:val="0"/>
                      <w:marTop w:val="300"/>
                      <w:marBottom w:val="300"/>
                      <w:divBdr>
                        <w:top w:val="none" w:sz="0" w:space="0" w:color="auto"/>
                        <w:left w:val="none" w:sz="0" w:space="0" w:color="auto"/>
                        <w:bottom w:val="none" w:sz="0" w:space="0" w:color="auto"/>
                        <w:right w:val="none" w:sz="0" w:space="0" w:color="auto"/>
                      </w:divBdr>
                      <w:divsChild>
                        <w:div w:id="316348800">
                          <w:marLeft w:val="0"/>
                          <w:marRight w:val="0"/>
                          <w:marTop w:val="0"/>
                          <w:marBottom w:val="0"/>
                          <w:divBdr>
                            <w:top w:val="none" w:sz="0" w:space="0" w:color="auto"/>
                            <w:left w:val="none" w:sz="0" w:space="0" w:color="auto"/>
                            <w:bottom w:val="none" w:sz="0" w:space="0" w:color="auto"/>
                            <w:right w:val="none" w:sz="0" w:space="0" w:color="auto"/>
                          </w:divBdr>
                        </w:div>
                      </w:divsChild>
                    </w:div>
                    <w:div w:id="1405955639">
                      <w:marLeft w:val="900"/>
                      <w:marRight w:val="0"/>
                      <w:marTop w:val="0"/>
                      <w:marBottom w:val="300"/>
                      <w:divBdr>
                        <w:top w:val="none" w:sz="0" w:space="0" w:color="auto"/>
                        <w:left w:val="none" w:sz="0" w:space="0" w:color="auto"/>
                        <w:bottom w:val="none" w:sz="0" w:space="0" w:color="auto"/>
                        <w:right w:val="none" w:sz="0" w:space="0" w:color="auto"/>
                      </w:divBdr>
                    </w:div>
                    <w:div w:id="2026176648">
                      <w:marLeft w:val="1350"/>
                      <w:marRight w:val="0"/>
                      <w:marTop w:val="300"/>
                      <w:marBottom w:val="300"/>
                      <w:divBdr>
                        <w:top w:val="none" w:sz="0" w:space="0" w:color="auto"/>
                        <w:left w:val="none" w:sz="0" w:space="0" w:color="auto"/>
                        <w:bottom w:val="none" w:sz="0" w:space="0" w:color="auto"/>
                        <w:right w:val="none" w:sz="0" w:space="0" w:color="auto"/>
                      </w:divBdr>
                      <w:divsChild>
                        <w:div w:id="83453932">
                          <w:marLeft w:val="0"/>
                          <w:marRight w:val="0"/>
                          <w:marTop w:val="0"/>
                          <w:marBottom w:val="0"/>
                          <w:divBdr>
                            <w:top w:val="none" w:sz="0" w:space="0" w:color="auto"/>
                            <w:left w:val="none" w:sz="0" w:space="0" w:color="auto"/>
                            <w:bottom w:val="none" w:sz="0" w:space="0" w:color="auto"/>
                            <w:right w:val="none" w:sz="0" w:space="0" w:color="auto"/>
                          </w:divBdr>
                        </w:div>
                      </w:divsChild>
                    </w:div>
                    <w:div w:id="2059359238">
                      <w:marLeft w:val="900"/>
                      <w:marRight w:val="0"/>
                      <w:marTop w:val="0"/>
                      <w:marBottom w:val="300"/>
                      <w:divBdr>
                        <w:top w:val="none" w:sz="0" w:space="0" w:color="auto"/>
                        <w:left w:val="none" w:sz="0" w:space="0" w:color="auto"/>
                        <w:bottom w:val="none" w:sz="0" w:space="0" w:color="auto"/>
                        <w:right w:val="none" w:sz="0" w:space="0" w:color="auto"/>
                      </w:divBdr>
                    </w:div>
                    <w:div w:id="1772823782">
                      <w:marLeft w:val="1350"/>
                      <w:marRight w:val="0"/>
                      <w:marTop w:val="300"/>
                      <w:marBottom w:val="300"/>
                      <w:divBdr>
                        <w:top w:val="none" w:sz="0" w:space="0" w:color="auto"/>
                        <w:left w:val="none" w:sz="0" w:space="0" w:color="auto"/>
                        <w:bottom w:val="none" w:sz="0" w:space="0" w:color="auto"/>
                        <w:right w:val="none" w:sz="0" w:space="0" w:color="auto"/>
                      </w:divBdr>
                      <w:divsChild>
                        <w:div w:id="491917002">
                          <w:marLeft w:val="0"/>
                          <w:marRight w:val="0"/>
                          <w:marTop w:val="0"/>
                          <w:marBottom w:val="0"/>
                          <w:divBdr>
                            <w:top w:val="none" w:sz="0" w:space="0" w:color="auto"/>
                            <w:left w:val="none" w:sz="0" w:space="0" w:color="auto"/>
                            <w:bottom w:val="none" w:sz="0" w:space="0" w:color="auto"/>
                            <w:right w:val="none" w:sz="0" w:space="0" w:color="auto"/>
                          </w:divBdr>
                        </w:div>
                      </w:divsChild>
                    </w:div>
                    <w:div w:id="373233131">
                      <w:marLeft w:val="900"/>
                      <w:marRight w:val="0"/>
                      <w:marTop w:val="0"/>
                      <w:marBottom w:val="300"/>
                      <w:divBdr>
                        <w:top w:val="none" w:sz="0" w:space="0" w:color="auto"/>
                        <w:left w:val="none" w:sz="0" w:space="0" w:color="auto"/>
                        <w:bottom w:val="none" w:sz="0" w:space="0" w:color="auto"/>
                        <w:right w:val="none" w:sz="0" w:space="0" w:color="auto"/>
                      </w:divBdr>
                    </w:div>
                    <w:div w:id="1298072586">
                      <w:marLeft w:val="1350"/>
                      <w:marRight w:val="0"/>
                      <w:marTop w:val="300"/>
                      <w:marBottom w:val="300"/>
                      <w:divBdr>
                        <w:top w:val="none" w:sz="0" w:space="0" w:color="auto"/>
                        <w:left w:val="none" w:sz="0" w:space="0" w:color="auto"/>
                        <w:bottom w:val="none" w:sz="0" w:space="0" w:color="auto"/>
                        <w:right w:val="none" w:sz="0" w:space="0" w:color="auto"/>
                      </w:divBdr>
                      <w:divsChild>
                        <w:div w:id="1802724501">
                          <w:marLeft w:val="0"/>
                          <w:marRight w:val="0"/>
                          <w:marTop w:val="0"/>
                          <w:marBottom w:val="0"/>
                          <w:divBdr>
                            <w:top w:val="none" w:sz="0" w:space="0" w:color="auto"/>
                            <w:left w:val="none" w:sz="0" w:space="0" w:color="auto"/>
                            <w:bottom w:val="none" w:sz="0" w:space="0" w:color="auto"/>
                            <w:right w:val="none" w:sz="0" w:space="0" w:color="auto"/>
                          </w:divBdr>
                        </w:div>
                      </w:divsChild>
                    </w:div>
                    <w:div w:id="37315796">
                      <w:marLeft w:val="900"/>
                      <w:marRight w:val="0"/>
                      <w:marTop w:val="0"/>
                      <w:marBottom w:val="300"/>
                      <w:divBdr>
                        <w:top w:val="none" w:sz="0" w:space="0" w:color="auto"/>
                        <w:left w:val="none" w:sz="0" w:space="0" w:color="auto"/>
                        <w:bottom w:val="none" w:sz="0" w:space="0" w:color="auto"/>
                        <w:right w:val="none" w:sz="0" w:space="0" w:color="auto"/>
                      </w:divBdr>
                    </w:div>
                    <w:div w:id="948659050">
                      <w:marLeft w:val="1350"/>
                      <w:marRight w:val="0"/>
                      <w:marTop w:val="300"/>
                      <w:marBottom w:val="300"/>
                      <w:divBdr>
                        <w:top w:val="none" w:sz="0" w:space="0" w:color="auto"/>
                        <w:left w:val="none" w:sz="0" w:space="0" w:color="auto"/>
                        <w:bottom w:val="none" w:sz="0" w:space="0" w:color="auto"/>
                        <w:right w:val="none" w:sz="0" w:space="0" w:color="auto"/>
                      </w:divBdr>
                      <w:divsChild>
                        <w:div w:id="123373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14249">
                  <w:marLeft w:val="525"/>
                  <w:marRight w:val="0"/>
                  <w:marTop w:val="300"/>
                  <w:marBottom w:val="300"/>
                  <w:divBdr>
                    <w:top w:val="none" w:sz="0" w:space="0" w:color="auto"/>
                    <w:left w:val="none" w:sz="0" w:space="0" w:color="auto"/>
                    <w:bottom w:val="none" w:sz="0" w:space="0" w:color="auto"/>
                    <w:right w:val="none" w:sz="0" w:space="0" w:color="auto"/>
                  </w:divBdr>
                </w:div>
                <w:div w:id="1096487379">
                  <w:marLeft w:val="0"/>
                  <w:marRight w:val="0"/>
                  <w:marTop w:val="0"/>
                  <w:marBottom w:val="0"/>
                  <w:divBdr>
                    <w:top w:val="none" w:sz="0" w:space="0" w:color="auto"/>
                    <w:left w:val="none" w:sz="0" w:space="0" w:color="auto"/>
                    <w:bottom w:val="none" w:sz="0" w:space="0" w:color="auto"/>
                    <w:right w:val="none" w:sz="0" w:space="0" w:color="auto"/>
                  </w:divBdr>
                  <w:divsChild>
                    <w:div w:id="1917277966">
                      <w:marLeft w:val="900"/>
                      <w:marRight w:val="0"/>
                      <w:marTop w:val="0"/>
                      <w:marBottom w:val="300"/>
                      <w:divBdr>
                        <w:top w:val="none" w:sz="0" w:space="0" w:color="auto"/>
                        <w:left w:val="none" w:sz="0" w:space="0" w:color="auto"/>
                        <w:bottom w:val="none" w:sz="0" w:space="0" w:color="auto"/>
                        <w:right w:val="none" w:sz="0" w:space="0" w:color="auto"/>
                      </w:divBdr>
                    </w:div>
                    <w:div w:id="208958444">
                      <w:marLeft w:val="1350"/>
                      <w:marRight w:val="0"/>
                      <w:marTop w:val="300"/>
                      <w:marBottom w:val="300"/>
                      <w:divBdr>
                        <w:top w:val="none" w:sz="0" w:space="0" w:color="auto"/>
                        <w:left w:val="none" w:sz="0" w:space="0" w:color="auto"/>
                        <w:bottom w:val="none" w:sz="0" w:space="0" w:color="auto"/>
                        <w:right w:val="none" w:sz="0" w:space="0" w:color="auto"/>
                      </w:divBdr>
                      <w:divsChild>
                        <w:div w:id="1336768230">
                          <w:marLeft w:val="0"/>
                          <w:marRight w:val="0"/>
                          <w:marTop w:val="0"/>
                          <w:marBottom w:val="0"/>
                          <w:divBdr>
                            <w:top w:val="none" w:sz="0" w:space="0" w:color="auto"/>
                            <w:left w:val="none" w:sz="0" w:space="0" w:color="auto"/>
                            <w:bottom w:val="none" w:sz="0" w:space="0" w:color="auto"/>
                            <w:right w:val="none" w:sz="0" w:space="0" w:color="auto"/>
                          </w:divBdr>
                        </w:div>
                      </w:divsChild>
                    </w:div>
                    <w:div w:id="1417553174">
                      <w:marLeft w:val="900"/>
                      <w:marRight w:val="0"/>
                      <w:marTop w:val="0"/>
                      <w:marBottom w:val="300"/>
                      <w:divBdr>
                        <w:top w:val="none" w:sz="0" w:space="0" w:color="auto"/>
                        <w:left w:val="none" w:sz="0" w:space="0" w:color="auto"/>
                        <w:bottom w:val="none" w:sz="0" w:space="0" w:color="auto"/>
                        <w:right w:val="none" w:sz="0" w:space="0" w:color="auto"/>
                      </w:divBdr>
                    </w:div>
                    <w:div w:id="1261333826">
                      <w:marLeft w:val="1350"/>
                      <w:marRight w:val="0"/>
                      <w:marTop w:val="300"/>
                      <w:marBottom w:val="300"/>
                      <w:divBdr>
                        <w:top w:val="none" w:sz="0" w:space="0" w:color="auto"/>
                        <w:left w:val="none" w:sz="0" w:space="0" w:color="auto"/>
                        <w:bottom w:val="none" w:sz="0" w:space="0" w:color="auto"/>
                        <w:right w:val="none" w:sz="0" w:space="0" w:color="auto"/>
                      </w:divBdr>
                      <w:divsChild>
                        <w:div w:id="1062143755">
                          <w:marLeft w:val="0"/>
                          <w:marRight w:val="0"/>
                          <w:marTop w:val="0"/>
                          <w:marBottom w:val="0"/>
                          <w:divBdr>
                            <w:top w:val="none" w:sz="0" w:space="0" w:color="auto"/>
                            <w:left w:val="none" w:sz="0" w:space="0" w:color="auto"/>
                            <w:bottom w:val="none" w:sz="0" w:space="0" w:color="auto"/>
                            <w:right w:val="none" w:sz="0" w:space="0" w:color="auto"/>
                          </w:divBdr>
                        </w:div>
                      </w:divsChild>
                    </w:div>
                    <w:div w:id="446195327">
                      <w:marLeft w:val="900"/>
                      <w:marRight w:val="0"/>
                      <w:marTop w:val="0"/>
                      <w:marBottom w:val="300"/>
                      <w:divBdr>
                        <w:top w:val="none" w:sz="0" w:space="0" w:color="auto"/>
                        <w:left w:val="none" w:sz="0" w:space="0" w:color="auto"/>
                        <w:bottom w:val="none" w:sz="0" w:space="0" w:color="auto"/>
                        <w:right w:val="none" w:sz="0" w:space="0" w:color="auto"/>
                      </w:divBdr>
                    </w:div>
                    <w:div w:id="1755397838">
                      <w:marLeft w:val="1350"/>
                      <w:marRight w:val="0"/>
                      <w:marTop w:val="300"/>
                      <w:marBottom w:val="300"/>
                      <w:divBdr>
                        <w:top w:val="none" w:sz="0" w:space="0" w:color="auto"/>
                        <w:left w:val="none" w:sz="0" w:space="0" w:color="auto"/>
                        <w:bottom w:val="none" w:sz="0" w:space="0" w:color="auto"/>
                        <w:right w:val="none" w:sz="0" w:space="0" w:color="auto"/>
                      </w:divBdr>
                      <w:divsChild>
                        <w:div w:id="786243138">
                          <w:marLeft w:val="0"/>
                          <w:marRight w:val="0"/>
                          <w:marTop w:val="0"/>
                          <w:marBottom w:val="0"/>
                          <w:divBdr>
                            <w:top w:val="none" w:sz="0" w:space="0" w:color="auto"/>
                            <w:left w:val="none" w:sz="0" w:space="0" w:color="auto"/>
                            <w:bottom w:val="none" w:sz="0" w:space="0" w:color="auto"/>
                            <w:right w:val="none" w:sz="0" w:space="0" w:color="auto"/>
                          </w:divBdr>
                        </w:div>
                      </w:divsChild>
                    </w:div>
                    <w:div w:id="2115782813">
                      <w:marLeft w:val="900"/>
                      <w:marRight w:val="0"/>
                      <w:marTop w:val="0"/>
                      <w:marBottom w:val="300"/>
                      <w:divBdr>
                        <w:top w:val="none" w:sz="0" w:space="0" w:color="auto"/>
                        <w:left w:val="none" w:sz="0" w:space="0" w:color="auto"/>
                        <w:bottom w:val="none" w:sz="0" w:space="0" w:color="auto"/>
                        <w:right w:val="none" w:sz="0" w:space="0" w:color="auto"/>
                      </w:divBdr>
                    </w:div>
                    <w:div w:id="1070661699">
                      <w:marLeft w:val="1350"/>
                      <w:marRight w:val="0"/>
                      <w:marTop w:val="300"/>
                      <w:marBottom w:val="300"/>
                      <w:divBdr>
                        <w:top w:val="none" w:sz="0" w:space="0" w:color="auto"/>
                        <w:left w:val="none" w:sz="0" w:space="0" w:color="auto"/>
                        <w:bottom w:val="none" w:sz="0" w:space="0" w:color="auto"/>
                        <w:right w:val="none" w:sz="0" w:space="0" w:color="auto"/>
                      </w:divBdr>
                      <w:divsChild>
                        <w:div w:id="1026515923">
                          <w:marLeft w:val="0"/>
                          <w:marRight w:val="0"/>
                          <w:marTop w:val="0"/>
                          <w:marBottom w:val="0"/>
                          <w:divBdr>
                            <w:top w:val="none" w:sz="0" w:space="0" w:color="auto"/>
                            <w:left w:val="none" w:sz="0" w:space="0" w:color="auto"/>
                            <w:bottom w:val="none" w:sz="0" w:space="0" w:color="auto"/>
                            <w:right w:val="none" w:sz="0" w:space="0" w:color="auto"/>
                          </w:divBdr>
                        </w:div>
                      </w:divsChild>
                    </w:div>
                    <w:div w:id="25372178">
                      <w:marLeft w:val="900"/>
                      <w:marRight w:val="0"/>
                      <w:marTop w:val="0"/>
                      <w:marBottom w:val="300"/>
                      <w:divBdr>
                        <w:top w:val="none" w:sz="0" w:space="0" w:color="auto"/>
                        <w:left w:val="none" w:sz="0" w:space="0" w:color="auto"/>
                        <w:bottom w:val="none" w:sz="0" w:space="0" w:color="auto"/>
                        <w:right w:val="none" w:sz="0" w:space="0" w:color="auto"/>
                      </w:divBdr>
                    </w:div>
                    <w:div w:id="164174498">
                      <w:marLeft w:val="1350"/>
                      <w:marRight w:val="0"/>
                      <w:marTop w:val="300"/>
                      <w:marBottom w:val="300"/>
                      <w:divBdr>
                        <w:top w:val="none" w:sz="0" w:space="0" w:color="auto"/>
                        <w:left w:val="none" w:sz="0" w:space="0" w:color="auto"/>
                        <w:bottom w:val="none" w:sz="0" w:space="0" w:color="auto"/>
                        <w:right w:val="none" w:sz="0" w:space="0" w:color="auto"/>
                      </w:divBdr>
                      <w:divsChild>
                        <w:div w:id="186598849">
                          <w:marLeft w:val="0"/>
                          <w:marRight w:val="0"/>
                          <w:marTop w:val="0"/>
                          <w:marBottom w:val="0"/>
                          <w:divBdr>
                            <w:top w:val="none" w:sz="0" w:space="0" w:color="auto"/>
                            <w:left w:val="none" w:sz="0" w:space="0" w:color="auto"/>
                            <w:bottom w:val="none" w:sz="0" w:space="0" w:color="auto"/>
                            <w:right w:val="none" w:sz="0" w:space="0" w:color="auto"/>
                          </w:divBdr>
                        </w:div>
                      </w:divsChild>
                    </w:div>
                    <w:div w:id="1093284261">
                      <w:marLeft w:val="900"/>
                      <w:marRight w:val="0"/>
                      <w:marTop w:val="0"/>
                      <w:marBottom w:val="300"/>
                      <w:divBdr>
                        <w:top w:val="none" w:sz="0" w:space="0" w:color="auto"/>
                        <w:left w:val="none" w:sz="0" w:space="0" w:color="auto"/>
                        <w:bottom w:val="none" w:sz="0" w:space="0" w:color="auto"/>
                        <w:right w:val="none" w:sz="0" w:space="0" w:color="auto"/>
                      </w:divBdr>
                    </w:div>
                    <w:div w:id="1634944155">
                      <w:marLeft w:val="1350"/>
                      <w:marRight w:val="0"/>
                      <w:marTop w:val="300"/>
                      <w:marBottom w:val="300"/>
                      <w:divBdr>
                        <w:top w:val="none" w:sz="0" w:space="0" w:color="auto"/>
                        <w:left w:val="none" w:sz="0" w:space="0" w:color="auto"/>
                        <w:bottom w:val="none" w:sz="0" w:space="0" w:color="auto"/>
                        <w:right w:val="none" w:sz="0" w:space="0" w:color="auto"/>
                      </w:divBdr>
                      <w:divsChild>
                        <w:div w:id="330719258">
                          <w:marLeft w:val="0"/>
                          <w:marRight w:val="0"/>
                          <w:marTop w:val="0"/>
                          <w:marBottom w:val="0"/>
                          <w:divBdr>
                            <w:top w:val="none" w:sz="0" w:space="0" w:color="auto"/>
                            <w:left w:val="none" w:sz="0" w:space="0" w:color="auto"/>
                            <w:bottom w:val="none" w:sz="0" w:space="0" w:color="auto"/>
                            <w:right w:val="none" w:sz="0" w:space="0" w:color="auto"/>
                          </w:divBdr>
                        </w:div>
                      </w:divsChild>
                    </w:div>
                    <w:div w:id="334303253">
                      <w:marLeft w:val="900"/>
                      <w:marRight w:val="0"/>
                      <w:marTop w:val="0"/>
                      <w:marBottom w:val="300"/>
                      <w:divBdr>
                        <w:top w:val="none" w:sz="0" w:space="0" w:color="auto"/>
                        <w:left w:val="none" w:sz="0" w:space="0" w:color="auto"/>
                        <w:bottom w:val="none" w:sz="0" w:space="0" w:color="auto"/>
                        <w:right w:val="none" w:sz="0" w:space="0" w:color="auto"/>
                      </w:divBdr>
                    </w:div>
                    <w:div w:id="546261923">
                      <w:marLeft w:val="1350"/>
                      <w:marRight w:val="0"/>
                      <w:marTop w:val="300"/>
                      <w:marBottom w:val="300"/>
                      <w:divBdr>
                        <w:top w:val="none" w:sz="0" w:space="0" w:color="auto"/>
                        <w:left w:val="none" w:sz="0" w:space="0" w:color="auto"/>
                        <w:bottom w:val="none" w:sz="0" w:space="0" w:color="auto"/>
                        <w:right w:val="none" w:sz="0" w:space="0" w:color="auto"/>
                      </w:divBdr>
                      <w:divsChild>
                        <w:div w:id="343287138">
                          <w:marLeft w:val="0"/>
                          <w:marRight w:val="0"/>
                          <w:marTop w:val="0"/>
                          <w:marBottom w:val="0"/>
                          <w:divBdr>
                            <w:top w:val="none" w:sz="0" w:space="0" w:color="auto"/>
                            <w:left w:val="none" w:sz="0" w:space="0" w:color="auto"/>
                            <w:bottom w:val="none" w:sz="0" w:space="0" w:color="auto"/>
                            <w:right w:val="none" w:sz="0" w:space="0" w:color="auto"/>
                          </w:divBdr>
                        </w:div>
                      </w:divsChild>
                    </w:div>
                    <w:div w:id="1072049160">
                      <w:marLeft w:val="900"/>
                      <w:marRight w:val="0"/>
                      <w:marTop w:val="0"/>
                      <w:marBottom w:val="300"/>
                      <w:divBdr>
                        <w:top w:val="none" w:sz="0" w:space="0" w:color="auto"/>
                        <w:left w:val="none" w:sz="0" w:space="0" w:color="auto"/>
                        <w:bottom w:val="none" w:sz="0" w:space="0" w:color="auto"/>
                        <w:right w:val="none" w:sz="0" w:space="0" w:color="auto"/>
                      </w:divBdr>
                    </w:div>
                    <w:div w:id="1100219501">
                      <w:marLeft w:val="1350"/>
                      <w:marRight w:val="0"/>
                      <w:marTop w:val="300"/>
                      <w:marBottom w:val="300"/>
                      <w:divBdr>
                        <w:top w:val="none" w:sz="0" w:space="0" w:color="auto"/>
                        <w:left w:val="none" w:sz="0" w:space="0" w:color="auto"/>
                        <w:bottom w:val="none" w:sz="0" w:space="0" w:color="auto"/>
                        <w:right w:val="none" w:sz="0" w:space="0" w:color="auto"/>
                      </w:divBdr>
                      <w:divsChild>
                        <w:div w:id="84910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817969">
      <w:bodyDiv w:val="1"/>
      <w:marLeft w:val="0"/>
      <w:marRight w:val="0"/>
      <w:marTop w:val="0"/>
      <w:marBottom w:val="0"/>
      <w:divBdr>
        <w:top w:val="none" w:sz="0" w:space="0" w:color="auto"/>
        <w:left w:val="none" w:sz="0" w:space="0" w:color="auto"/>
        <w:bottom w:val="none" w:sz="0" w:space="0" w:color="auto"/>
        <w:right w:val="none" w:sz="0" w:space="0" w:color="auto"/>
      </w:divBdr>
      <w:divsChild>
        <w:div w:id="682516631">
          <w:marLeft w:val="0"/>
          <w:marRight w:val="0"/>
          <w:marTop w:val="0"/>
          <w:marBottom w:val="0"/>
          <w:divBdr>
            <w:top w:val="none" w:sz="0" w:space="0" w:color="auto"/>
            <w:left w:val="none" w:sz="0" w:space="0" w:color="auto"/>
            <w:bottom w:val="none" w:sz="0" w:space="0" w:color="auto"/>
            <w:right w:val="none" w:sz="0" w:space="0" w:color="auto"/>
          </w:divBdr>
          <w:divsChild>
            <w:div w:id="469252735">
              <w:marLeft w:val="0"/>
              <w:marRight w:val="0"/>
              <w:marTop w:val="0"/>
              <w:marBottom w:val="0"/>
              <w:divBdr>
                <w:top w:val="none" w:sz="0" w:space="0" w:color="auto"/>
                <w:left w:val="none" w:sz="0" w:space="0" w:color="auto"/>
                <w:bottom w:val="none" w:sz="0" w:space="0" w:color="auto"/>
                <w:right w:val="none" w:sz="0" w:space="0" w:color="auto"/>
              </w:divBdr>
              <w:divsChild>
                <w:div w:id="3822001">
                  <w:marLeft w:val="0"/>
                  <w:marRight w:val="0"/>
                  <w:marTop w:val="450"/>
                  <w:marBottom w:val="300"/>
                  <w:divBdr>
                    <w:top w:val="none" w:sz="0" w:space="0" w:color="auto"/>
                    <w:left w:val="none" w:sz="0" w:space="0" w:color="auto"/>
                    <w:bottom w:val="none" w:sz="0" w:space="0" w:color="auto"/>
                    <w:right w:val="none" w:sz="0" w:space="0" w:color="auto"/>
                  </w:divBdr>
                </w:div>
                <w:div w:id="617031207">
                  <w:marLeft w:val="0"/>
                  <w:marRight w:val="0"/>
                  <w:marTop w:val="0"/>
                  <w:marBottom w:val="450"/>
                  <w:divBdr>
                    <w:top w:val="none" w:sz="0" w:space="0" w:color="auto"/>
                    <w:left w:val="none" w:sz="0" w:space="0" w:color="auto"/>
                    <w:bottom w:val="none" w:sz="0" w:space="0" w:color="auto"/>
                    <w:right w:val="none" w:sz="0" w:space="0" w:color="auto"/>
                  </w:divBdr>
                </w:div>
                <w:div w:id="980814696">
                  <w:marLeft w:val="525"/>
                  <w:marRight w:val="0"/>
                  <w:marTop w:val="300"/>
                  <w:marBottom w:val="300"/>
                  <w:divBdr>
                    <w:top w:val="none" w:sz="0" w:space="0" w:color="auto"/>
                    <w:left w:val="none" w:sz="0" w:space="0" w:color="auto"/>
                    <w:bottom w:val="none" w:sz="0" w:space="0" w:color="auto"/>
                    <w:right w:val="none" w:sz="0" w:space="0" w:color="auto"/>
                  </w:divBdr>
                </w:div>
                <w:div w:id="769160480">
                  <w:marLeft w:val="525"/>
                  <w:marRight w:val="0"/>
                  <w:marTop w:val="300"/>
                  <w:marBottom w:val="300"/>
                  <w:divBdr>
                    <w:top w:val="none" w:sz="0" w:space="0" w:color="auto"/>
                    <w:left w:val="none" w:sz="0" w:space="0" w:color="auto"/>
                    <w:bottom w:val="none" w:sz="0" w:space="0" w:color="auto"/>
                    <w:right w:val="none" w:sz="0" w:space="0" w:color="auto"/>
                  </w:divBdr>
                </w:div>
                <w:div w:id="208536009">
                  <w:marLeft w:val="0"/>
                  <w:marRight w:val="0"/>
                  <w:marTop w:val="0"/>
                  <w:marBottom w:val="0"/>
                  <w:divBdr>
                    <w:top w:val="none" w:sz="0" w:space="0" w:color="auto"/>
                    <w:left w:val="none" w:sz="0" w:space="0" w:color="auto"/>
                    <w:bottom w:val="none" w:sz="0" w:space="0" w:color="auto"/>
                    <w:right w:val="none" w:sz="0" w:space="0" w:color="auto"/>
                  </w:divBdr>
                  <w:divsChild>
                    <w:div w:id="130904009">
                      <w:marLeft w:val="900"/>
                      <w:marRight w:val="0"/>
                      <w:marTop w:val="0"/>
                      <w:marBottom w:val="300"/>
                      <w:divBdr>
                        <w:top w:val="none" w:sz="0" w:space="0" w:color="auto"/>
                        <w:left w:val="none" w:sz="0" w:space="0" w:color="auto"/>
                        <w:bottom w:val="none" w:sz="0" w:space="0" w:color="auto"/>
                        <w:right w:val="none" w:sz="0" w:space="0" w:color="auto"/>
                      </w:divBdr>
                    </w:div>
                    <w:div w:id="2005279523">
                      <w:marLeft w:val="1350"/>
                      <w:marRight w:val="0"/>
                      <w:marTop w:val="300"/>
                      <w:marBottom w:val="300"/>
                      <w:divBdr>
                        <w:top w:val="none" w:sz="0" w:space="0" w:color="auto"/>
                        <w:left w:val="none" w:sz="0" w:space="0" w:color="auto"/>
                        <w:bottom w:val="none" w:sz="0" w:space="0" w:color="auto"/>
                        <w:right w:val="none" w:sz="0" w:space="0" w:color="auto"/>
                      </w:divBdr>
                      <w:divsChild>
                        <w:div w:id="380862336">
                          <w:marLeft w:val="0"/>
                          <w:marRight w:val="0"/>
                          <w:marTop w:val="0"/>
                          <w:marBottom w:val="0"/>
                          <w:divBdr>
                            <w:top w:val="none" w:sz="0" w:space="0" w:color="auto"/>
                            <w:left w:val="none" w:sz="0" w:space="0" w:color="auto"/>
                            <w:bottom w:val="none" w:sz="0" w:space="0" w:color="auto"/>
                            <w:right w:val="none" w:sz="0" w:space="0" w:color="auto"/>
                          </w:divBdr>
                        </w:div>
                      </w:divsChild>
                    </w:div>
                    <w:div w:id="2029603067">
                      <w:marLeft w:val="900"/>
                      <w:marRight w:val="0"/>
                      <w:marTop w:val="0"/>
                      <w:marBottom w:val="300"/>
                      <w:divBdr>
                        <w:top w:val="none" w:sz="0" w:space="0" w:color="auto"/>
                        <w:left w:val="none" w:sz="0" w:space="0" w:color="auto"/>
                        <w:bottom w:val="none" w:sz="0" w:space="0" w:color="auto"/>
                        <w:right w:val="none" w:sz="0" w:space="0" w:color="auto"/>
                      </w:divBdr>
                    </w:div>
                    <w:div w:id="936718621">
                      <w:marLeft w:val="1350"/>
                      <w:marRight w:val="0"/>
                      <w:marTop w:val="300"/>
                      <w:marBottom w:val="300"/>
                      <w:divBdr>
                        <w:top w:val="none" w:sz="0" w:space="0" w:color="auto"/>
                        <w:left w:val="none" w:sz="0" w:space="0" w:color="auto"/>
                        <w:bottom w:val="none" w:sz="0" w:space="0" w:color="auto"/>
                        <w:right w:val="none" w:sz="0" w:space="0" w:color="auto"/>
                      </w:divBdr>
                      <w:divsChild>
                        <w:div w:id="1952127973">
                          <w:marLeft w:val="0"/>
                          <w:marRight w:val="0"/>
                          <w:marTop w:val="0"/>
                          <w:marBottom w:val="0"/>
                          <w:divBdr>
                            <w:top w:val="none" w:sz="0" w:space="0" w:color="auto"/>
                            <w:left w:val="none" w:sz="0" w:space="0" w:color="auto"/>
                            <w:bottom w:val="none" w:sz="0" w:space="0" w:color="auto"/>
                            <w:right w:val="none" w:sz="0" w:space="0" w:color="auto"/>
                          </w:divBdr>
                        </w:div>
                      </w:divsChild>
                    </w:div>
                    <w:div w:id="1251744164">
                      <w:marLeft w:val="900"/>
                      <w:marRight w:val="0"/>
                      <w:marTop w:val="0"/>
                      <w:marBottom w:val="300"/>
                      <w:divBdr>
                        <w:top w:val="none" w:sz="0" w:space="0" w:color="auto"/>
                        <w:left w:val="none" w:sz="0" w:space="0" w:color="auto"/>
                        <w:bottom w:val="none" w:sz="0" w:space="0" w:color="auto"/>
                        <w:right w:val="none" w:sz="0" w:space="0" w:color="auto"/>
                      </w:divBdr>
                    </w:div>
                    <w:div w:id="534654138">
                      <w:marLeft w:val="1350"/>
                      <w:marRight w:val="0"/>
                      <w:marTop w:val="300"/>
                      <w:marBottom w:val="300"/>
                      <w:divBdr>
                        <w:top w:val="none" w:sz="0" w:space="0" w:color="auto"/>
                        <w:left w:val="none" w:sz="0" w:space="0" w:color="auto"/>
                        <w:bottom w:val="none" w:sz="0" w:space="0" w:color="auto"/>
                        <w:right w:val="none" w:sz="0" w:space="0" w:color="auto"/>
                      </w:divBdr>
                      <w:divsChild>
                        <w:div w:id="982126374">
                          <w:marLeft w:val="0"/>
                          <w:marRight w:val="0"/>
                          <w:marTop w:val="0"/>
                          <w:marBottom w:val="0"/>
                          <w:divBdr>
                            <w:top w:val="none" w:sz="0" w:space="0" w:color="auto"/>
                            <w:left w:val="none" w:sz="0" w:space="0" w:color="auto"/>
                            <w:bottom w:val="none" w:sz="0" w:space="0" w:color="auto"/>
                            <w:right w:val="none" w:sz="0" w:space="0" w:color="auto"/>
                          </w:divBdr>
                        </w:div>
                      </w:divsChild>
                    </w:div>
                    <w:div w:id="1724525226">
                      <w:marLeft w:val="900"/>
                      <w:marRight w:val="0"/>
                      <w:marTop w:val="0"/>
                      <w:marBottom w:val="300"/>
                      <w:divBdr>
                        <w:top w:val="none" w:sz="0" w:space="0" w:color="auto"/>
                        <w:left w:val="none" w:sz="0" w:space="0" w:color="auto"/>
                        <w:bottom w:val="none" w:sz="0" w:space="0" w:color="auto"/>
                        <w:right w:val="none" w:sz="0" w:space="0" w:color="auto"/>
                      </w:divBdr>
                    </w:div>
                    <w:div w:id="1405420234">
                      <w:marLeft w:val="1350"/>
                      <w:marRight w:val="0"/>
                      <w:marTop w:val="300"/>
                      <w:marBottom w:val="300"/>
                      <w:divBdr>
                        <w:top w:val="none" w:sz="0" w:space="0" w:color="auto"/>
                        <w:left w:val="none" w:sz="0" w:space="0" w:color="auto"/>
                        <w:bottom w:val="none" w:sz="0" w:space="0" w:color="auto"/>
                        <w:right w:val="none" w:sz="0" w:space="0" w:color="auto"/>
                      </w:divBdr>
                      <w:divsChild>
                        <w:div w:id="1045836539">
                          <w:marLeft w:val="0"/>
                          <w:marRight w:val="0"/>
                          <w:marTop w:val="0"/>
                          <w:marBottom w:val="0"/>
                          <w:divBdr>
                            <w:top w:val="none" w:sz="0" w:space="0" w:color="auto"/>
                            <w:left w:val="none" w:sz="0" w:space="0" w:color="auto"/>
                            <w:bottom w:val="none" w:sz="0" w:space="0" w:color="auto"/>
                            <w:right w:val="none" w:sz="0" w:space="0" w:color="auto"/>
                          </w:divBdr>
                        </w:div>
                      </w:divsChild>
                    </w:div>
                    <w:div w:id="322050700">
                      <w:marLeft w:val="900"/>
                      <w:marRight w:val="0"/>
                      <w:marTop w:val="0"/>
                      <w:marBottom w:val="300"/>
                      <w:divBdr>
                        <w:top w:val="none" w:sz="0" w:space="0" w:color="auto"/>
                        <w:left w:val="none" w:sz="0" w:space="0" w:color="auto"/>
                        <w:bottom w:val="none" w:sz="0" w:space="0" w:color="auto"/>
                        <w:right w:val="none" w:sz="0" w:space="0" w:color="auto"/>
                      </w:divBdr>
                    </w:div>
                    <w:div w:id="690766448">
                      <w:marLeft w:val="1350"/>
                      <w:marRight w:val="0"/>
                      <w:marTop w:val="300"/>
                      <w:marBottom w:val="300"/>
                      <w:divBdr>
                        <w:top w:val="none" w:sz="0" w:space="0" w:color="auto"/>
                        <w:left w:val="none" w:sz="0" w:space="0" w:color="auto"/>
                        <w:bottom w:val="none" w:sz="0" w:space="0" w:color="auto"/>
                        <w:right w:val="none" w:sz="0" w:space="0" w:color="auto"/>
                      </w:divBdr>
                      <w:divsChild>
                        <w:div w:id="98916709">
                          <w:marLeft w:val="0"/>
                          <w:marRight w:val="0"/>
                          <w:marTop w:val="0"/>
                          <w:marBottom w:val="0"/>
                          <w:divBdr>
                            <w:top w:val="none" w:sz="0" w:space="0" w:color="auto"/>
                            <w:left w:val="none" w:sz="0" w:space="0" w:color="auto"/>
                            <w:bottom w:val="none" w:sz="0" w:space="0" w:color="auto"/>
                            <w:right w:val="none" w:sz="0" w:space="0" w:color="auto"/>
                          </w:divBdr>
                        </w:div>
                      </w:divsChild>
                    </w:div>
                    <w:div w:id="1839692955">
                      <w:marLeft w:val="900"/>
                      <w:marRight w:val="0"/>
                      <w:marTop w:val="0"/>
                      <w:marBottom w:val="300"/>
                      <w:divBdr>
                        <w:top w:val="none" w:sz="0" w:space="0" w:color="auto"/>
                        <w:left w:val="none" w:sz="0" w:space="0" w:color="auto"/>
                        <w:bottom w:val="none" w:sz="0" w:space="0" w:color="auto"/>
                        <w:right w:val="none" w:sz="0" w:space="0" w:color="auto"/>
                      </w:divBdr>
                    </w:div>
                    <w:div w:id="494809785">
                      <w:marLeft w:val="1350"/>
                      <w:marRight w:val="0"/>
                      <w:marTop w:val="300"/>
                      <w:marBottom w:val="300"/>
                      <w:divBdr>
                        <w:top w:val="none" w:sz="0" w:space="0" w:color="auto"/>
                        <w:left w:val="none" w:sz="0" w:space="0" w:color="auto"/>
                        <w:bottom w:val="none" w:sz="0" w:space="0" w:color="auto"/>
                        <w:right w:val="none" w:sz="0" w:space="0" w:color="auto"/>
                      </w:divBdr>
                      <w:divsChild>
                        <w:div w:id="167753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0504">
                  <w:marLeft w:val="525"/>
                  <w:marRight w:val="0"/>
                  <w:marTop w:val="300"/>
                  <w:marBottom w:val="300"/>
                  <w:divBdr>
                    <w:top w:val="none" w:sz="0" w:space="0" w:color="auto"/>
                    <w:left w:val="none" w:sz="0" w:space="0" w:color="auto"/>
                    <w:bottom w:val="none" w:sz="0" w:space="0" w:color="auto"/>
                    <w:right w:val="none" w:sz="0" w:space="0" w:color="auto"/>
                  </w:divBdr>
                </w:div>
                <w:div w:id="428742486">
                  <w:marLeft w:val="0"/>
                  <w:marRight w:val="0"/>
                  <w:marTop w:val="0"/>
                  <w:marBottom w:val="0"/>
                  <w:divBdr>
                    <w:top w:val="none" w:sz="0" w:space="0" w:color="auto"/>
                    <w:left w:val="none" w:sz="0" w:space="0" w:color="auto"/>
                    <w:bottom w:val="none" w:sz="0" w:space="0" w:color="auto"/>
                    <w:right w:val="none" w:sz="0" w:space="0" w:color="auto"/>
                  </w:divBdr>
                  <w:divsChild>
                    <w:div w:id="1907497233">
                      <w:marLeft w:val="900"/>
                      <w:marRight w:val="0"/>
                      <w:marTop w:val="0"/>
                      <w:marBottom w:val="300"/>
                      <w:divBdr>
                        <w:top w:val="none" w:sz="0" w:space="0" w:color="auto"/>
                        <w:left w:val="none" w:sz="0" w:space="0" w:color="auto"/>
                        <w:bottom w:val="none" w:sz="0" w:space="0" w:color="auto"/>
                        <w:right w:val="none" w:sz="0" w:space="0" w:color="auto"/>
                      </w:divBdr>
                    </w:div>
                    <w:div w:id="639774537">
                      <w:marLeft w:val="1350"/>
                      <w:marRight w:val="0"/>
                      <w:marTop w:val="300"/>
                      <w:marBottom w:val="300"/>
                      <w:divBdr>
                        <w:top w:val="none" w:sz="0" w:space="0" w:color="auto"/>
                        <w:left w:val="none" w:sz="0" w:space="0" w:color="auto"/>
                        <w:bottom w:val="none" w:sz="0" w:space="0" w:color="auto"/>
                        <w:right w:val="none" w:sz="0" w:space="0" w:color="auto"/>
                      </w:divBdr>
                      <w:divsChild>
                        <w:div w:id="941718975">
                          <w:marLeft w:val="0"/>
                          <w:marRight w:val="0"/>
                          <w:marTop w:val="0"/>
                          <w:marBottom w:val="0"/>
                          <w:divBdr>
                            <w:top w:val="none" w:sz="0" w:space="0" w:color="auto"/>
                            <w:left w:val="none" w:sz="0" w:space="0" w:color="auto"/>
                            <w:bottom w:val="none" w:sz="0" w:space="0" w:color="auto"/>
                            <w:right w:val="none" w:sz="0" w:space="0" w:color="auto"/>
                          </w:divBdr>
                        </w:div>
                      </w:divsChild>
                    </w:div>
                    <w:div w:id="745880139">
                      <w:marLeft w:val="900"/>
                      <w:marRight w:val="0"/>
                      <w:marTop w:val="0"/>
                      <w:marBottom w:val="300"/>
                      <w:divBdr>
                        <w:top w:val="none" w:sz="0" w:space="0" w:color="auto"/>
                        <w:left w:val="none" w:sz="0" w:space="0" w:color="auto"/>
                        <w:bottom w:val="none" w:sz="0" w:space="0" w:color="auto"/>
                        <w:right w:val="none" w:sz="0" w:space="0" w:color="auto"/>
                      </w:divBdr>
                    </w:div>
                    <w:div w:id="1721854923">
                      <w:marLeft w:val="1350"/>
                      <w:marRight w:val="0"/>
                      <w:marTop w:val="300"/>
                      <w:marBottom w:val="300"/>
                      <w:divBdr>
                        <w:top w:val="none" w:sz="0" w:space="0" w:color="auto"/>
                        <w:left w:val="none" w:sz="0" w:space="0" w:color="auto"/>
                        <w:bottom w:val="none" w:sz="0" w:space="0" w:color="auto"/>
                        <w:right w:val="none" w:sz="0" w:space="0" w:color="auto"/>
                      </w:divBdr>
                      <w:divsChild>
                        <w:div w:id="2022392419">
                          <w:marLeft w:val="0"/>
                          <w:marRight w:val="0"/>
                          <w:marTop w:val="0"/>
                          <w:marBottom w:val="0"/>
                          <w:divBdr>
                            <w:top w:val="none" w:sz="0" w:space="0" w:color="auto"/>
                            <w:left w:val="none" w:sz="0" w:space="0" w:color="auto"/>
                            <w:bottom w:val="none" w:sz="0" w:space="0" w:color="auto"/>
                            <w:right w:val="none" w:sz="0" w:space="0" w:color="auto"/>
                          </w:divBdr>
                        </w:div>
                      </w:divsChild>
                    </w:div>
                    <w:div w:id="2103255269">
                      <w:marLeft w:val="900"/>
                      <w:marRight w:val="0"/>
                      <w:marTop w:val="0"/>
                      <w:marBottom w:val="300"/>
                      <w:divBdr>
                        <w:top w:val="none" w:sz="0" w:space="0" w:color="auto"/>
                        <w:left w:val="none" w:sz="0" w:space="0" w:color="auto"/>
                        <w:bottom w:val="none" w:sz="0" w:space="0" w:color="auto"/>
                        <w:right w:val="none" w:sz="0" w:space="0" w:color="auto"/>
                      </w:divBdr>
                    </w:div>
                    <w:div w:id="1106542354">
                      <w:marLeft w:val="1350"/>
                      <w:marRight w:val="0"/>
                      <w:marTop w:val="300"/>
                      <w:marBottom w:val="300"/>
                      <w:divBdr>
                        <w:top w:val="none" w:sz="0" w:space="0" w:color="auto"/>
                        <w:left w:val="none" w:sz="0" w:space="0" w:color="auto"/>
                        <w:bottom w:val="none" w:sz="0" w:space="0" w:color="auto"/>
                        <w:right w:val="none" w:sz="0" w:space="0" w:color="auto"/>
                      </w:divBdr>
                      <w:divsChild>
                        <w:div w:id="2131584149">
                          <w:marLeft w:val="0"/>
                          <w:marRight w:val="0"/>
                          <w:marTop w:val="0"/>
                          <w:marBottom w:val="0"/>
                          <w:divBdr>
                            <w:top w:val="none" w:sz="0" w:space="0" w:color="auto"/>
                            <w:left w:val="none" w:sz="0" w:space="0" w:color="auto"/>
                            <w:bottom w:val="none" w:sz="0" w:space="0" w:color="auto"/>
                            <w:right w:val="none" w:sz="0" w:space="0" w:color="auto"/>
                          </w:divBdr>
                        </w:div>
                      </w:divsChild>
                    </w:div>
                    <w:div w:id="146164717">
                      <w:marLeft w:val="900"/>
                      <w:marRight w:val="0"/>
                      <w:marTop w:val="0"/>
                      <w:marBottom w:val="300"/>
                      <w:divBdr>
                        <w:top w:val="none" w:sz="0" w:space="0" w:color="auto"/>
                        <w:left w:val="none" w:sz="0" w:space="0" w:color="auto"/>
                        <w:bottom w:val="none" w:sz="0" w:space="0" w:color="auto"/>
                        <w:right w:val="none" w:sz="0" w:space="0" w:color="auto"/>
                      </w:divBdr>
                    </w:div>
                    <w:div w:id="1461921017">
                      <w:marLeft w:val="1350"/>
                      <w:marRight w:val="0"/>
                      <w:marTop w:val="300"/>
                      <w:marBottom w:val="300"/>
                      <w:divBdr>
                        <w:top w:val="none" w:sz="0" w:space="0" w:color="auto"/>
                        <w:left w:val="none" w:sz="0" w:space="0" w:color="auto"/>
                        <w:bottom w:val="none" w:sz="0" w:space="0" w:color="auto"/>
                        <w:right w:val="none" w:sz="0" w:space="0" w:color="auto"/>
                      </w:divBdr>
                      <w:divsChild>
                        <w:div w:id="1398016593">
                          <w:marLeft w:val="0"/>
                          <w:marRight w:val="0"/>
                          <w:marTop w:val="0"/>
                          <w:marBottom w:val="0"/>
                          <w:divBdr>
                            <w:top w:val="none" w:sz="0" w:space="0" w:color="auto"/>
                            <w:left w:val="none" w:sz="0" w:space="0" w:color="auto"/>
                            <w:bottom w:val="none" w:sz="0" w:space="0" w:color="auto"/>
                            <w:right w:val="none" w:sz="0" w:space="0" w:color="auto"/>
                          </w:divBdr>
                        </w:div>
                      </w:divsChild>
                    </w:div>
                    <w:div w:id="1768383288">
                      <w:marLeft w:val="900"/>
                      <w:marRight w:val="0"/>
                      <w:marTop w:val="0"/>
                      <w:marBottom w:val="300"/>
                      <w:divBdr>
                        <w:top w:val="none" w:sz="0" w:space="0" w:color="auto"/>
                        <w:left w:val="none" w:sz="0" w:space="0" w:color="auto"/>
                        <w:bottom w:val="none" w:sz="0" w:space="0" w:color="auto"/>
                        <w:right w:val="none" w:sz="0" w:space="0" w:color="auto"/>
                      </w:divBdr>
                    </w:div>
                    <w:div w:id="1363631892">
                      <w:marLeft w:val="1350"/>
                      <w:marRight w:val="0"/>
                      <w:marTop w:val="300"/>
                      <w:marBottom w:val="300"/>
                      <w:divBdr>
                        <w:top w:val="none" w:sz="0" w:space="0" w:color="auto"/>
                        <w:left w:val="none" w:sz="0" w:space="0" w:color="auto"/>
                        <w:bottom w:val="none" w:sz="0" w:space="0" w:color="auto"/>
                        <w:right w:val="none" w:sz="0" w:space="0" w:color="auto"/>
                      </w:divBdr>
                      <w:divsChild>
                        <w:div w:id="203758429">
                          <w:marLeft w:val="0"/>
                          <w:marRight w:val="0"/>
                          <w:marTop w:val="0"/>
                          <w:marBottom w:val="0"/>
                          <w:divBdr>
                            <w:top w:val="none" w:sz="0" w:space="0" w:color="auto"/>
                            <w:left w:val="none" w:sz="0" w:space="0" w:color="auto"/>
                            <w:bottom w:val="none" w:sz="0" w:space="0" w:color="auto"/>
                            <w:right w:val="none" w:sz="0" w:space="0" w:color="auto"/>
                          </w:divBdr>
                        </w:div>
                      </w:divsChild>
                    </w:div>
                    <w:div w:id="709719391">
                      <w:marLeft w:val="900"/>
                      <w:marRight w:val="0"/>
                      <w:marTop w:val="0"/>
                      <w:marBottom w:val="300"/>
                      <w:divBdr>
                        <w:top w:val="none" w:sz="0" w:space="0" w:color="auto"/>
                        <w:left w:val="none" w:sz="0" w:space="0" w:color="auto"/>
                        <w:bottom w:val="none" w:sz="0" w:space="0" w:color="auto"/>
                        <w:right w:val="none" w:sz="0" w:space="0" w:color="auto"/>
                      </w:divBdr>
                    </w:div>
                    <w:div w:id="2131508085">
                      <w:marLeft w:val="1350"/>
                      <w:marRight w:val="0"/>
                      <w:marTop w:val="300"/>
                      <w:marBottom w:val="300"/>
                      <w:divBdr>
                        <w:top w:val="none" w:sz="0" w:space="0" w:color="auto"/>
                        <w:left w:val="none" w:sz="0" w:space="0" w:color="auto"/>
                        <w:bottom w:val="none" w:sz="0" w:space="0" w:color="auto"/>
                        <w:right w:val="none" w:sz="0" w:space="0" w:color="auto"/>
                      </w:divBdr>
                      <w:divsChild>
                        <w:div w:id="205457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07501">
                  <w:marLeft w:val="525"/>
                  <w:marRight w:val="0"/>
                  <w:marTop w:val="300"/>
                  <w:marBottom w:val="300"/>
                  <w:divBdr>
                    <w:top w:val="none" w:sz="0" w:space="0" w:color="auto"/>
                    <w:left w:val="none" w:sz="0" w:space="0" w:color="auto"/>
                    <w:bottom w:val="none" w:sz="0" w:space="0" w:color="auto"/>
                    <w:right w:val="none" w:sz="0" w:space="0" w:color="auto"/>
                  </w:divBdr>
                </w:div>
                <w:div w:id="167913625">
                  <w:marLeft w:val="0"/>
                  <w:marRight w:val="0"/>
                  <w:marTop w:val="0"/>
                  <w:marBottom w:val="0"/>
                  <w:divBdr>
                    <w:top w:val="none" w:sz="0" w:space="0" w:color="auto"/>
                    <w:left w:val="none" w:sz="0" w:space="0" w:color="auto"/>
                    <w:bottom w:val="none" w:sz="0" w:space="0" w:color="auto"/>
                    <w:right w:val="none" w:sz="0" w:space="0" w:color="auto"/>
                  </w:divBdr>
                  <w:divsChild>
                    <w:div w:id="1567840277">
                      <w:marLeft w:val="900"/>
                      <w:marRight w:val="0"/>
                      <w:marTop w:val="0"/>
                      <w:marBottom w:val="300"/>
                      <w:divBdr>
                        <w:top w:val="none" w:sz="0" w:space="0" w:color="auto"/>
                        <w:left w:val="none" w:sz="0" w:space="0" w:color="auto"/>
                        <w:bottom w:val="none" w:sz="0" w:space="0" w:color="auto"/>
                        <w:right w:val="none" w:sz="0" w:space="0" w:color="auto"/>
                      </w:divBdr>
                    </w:div>
                    <w:div w:id="1173296935">
                      <w:marLeft w:val="1350"/>
                      <w:marRight w:val="0"/>
                      <w:marTop w:val="300"/>
                      <w:marBottom w:val="300"/>
                      <w:divBdr>
                        <w:top w:val="none" w:sz="0" w:space="0" w:color="auto"/>
                        <w:left w:val="none" w:sz="0" w:space="0" w:color="auto"/>
                        <w:bottom w:val="none" w:sz="0" w:space="0" w:color="auto"/>
                        <w:right w:val="none" w:sz="0" w:space="0" w:color="auto"/>
                      </w:divBdr>
                      <w:divsChild>
                        <w:div w:id="1192765007">
                          <w:marLeft w:val="0"/>
                          <w:marRight w:val="0"/>
                          <w:marTop w:val="0"/>
                          <w:marBottom w:val="0"/>
                          <w:divBdr>
                            <w:top w:val="none" w:sz="0" w:space="0" w:color="auto"/>
                            <w:left w:val="none" w:sz="0" w:space="0" w:color="auto"/>
                            <w:bottom w:val="none" w:sz="0" w:space="0" w:color="auto"/>
                            <w:right w:val="none" w:sz="0" w:space="0" w:color="auto"/>
                          </w:divBdr>
                        </w:div>
                      </w:divsChild>
                    </w:div>
                    <w:div w:id="1428114863">
                      <w:marLeft w:val="900"/>
                      <w:marRight w:val="0"/>
                      <w:marTop w:val="0"/>
                      <w:marBottom w:val="300"/>
                      <w:divBdr>
                        <w:top w:val="none" w:sz="0" w:space="0" w:color="auto"/>
                        <w:left w:val="none" w:sz="0" w:space="0" w:color="auto"/>
                        <w:bottom w:val="none" w:sz="0" w:space="0" w:color="auto"/>
                        <w:right w:val="none" w:sz="0" w:space="0" w:color="auto"/>
                      </w:divBdr>
                    </w:div>
                    <w:div w:id="696350647">
                      <w:marLeft w:val="1350"/>
                      <w:marRight w:val="0"/>
                      <w:marTop w:val="300"/>
                      <w:marBottom w:val="300"/>
                      <w:divBdr>
                        <w:top w:val="none" w:sz="0" w:space="0" w:color="auto"/>
                        <w:left w:val="none" w:sz="0" w:space="0" w:color="auto"/>
                        <w:bottom w:val="none" w:sz="0" w:space="0" w:color="auto"/>
                        <w:right w:val="none" w:sz="0" w:space="0" w:color="auto"/>
                      </w:divBdr>
                      <w:divsChild>
                        <w:div w:id="1645161873">
                          <w:marLeft w:val="0"/>
                          <w:marRight w:val="0"/>
                          <w:marTop w:val="0"/>
                          <w:marBottom w:val="0"/>
                          <w:divBdr>
                            <w:top w:val="none" w:sz="0" w:space="0" w:color="auto"/>
                            <w:left w:val="none" w:sz="0" w:space="0" w:color="auto"/>
                            <w:bottom w:val="none" w:sz="0" w:space="0" w:color="auto"/>
                            <w:right w:val="none" w:sz="0" w:space="0" w:color="auto"/>
                          </w:divBdr>
                        </w:div>
                      </w:divsChild>
                    </w:div>
                    <w:div w:id="1085877818">
                      <w:marLeft w:val="900"/>
                      <w:marRight w:val="0"/>
                      <w:marTop w:val="0"/>
                      <w:marBottom w:val="300"/>
                      <w:divBdr>
                        <w:top w:val="none" w:sz="0" w:space="0" w:color="auto"/>
                        <w:left w:val="none" w:sz="0" w:space="0" w:color="auto"/>
                        <w:bottom w:val="none" w:sz="0" w:space="0" w:color="auto"/>
                        <w:right w:val="none" w:sz="0" w:space="0" w:color="auto"/>
                      </w:divBdr>
                    </w:div>
                    <w:div w:id="861090939">
                      <w:marLeft w:val="1350"/>
                      <w:marRight w:val="0"/>
                      <w:marTop w:val="300"/>
                      <w:marBottom w:val="300"/>
                      <w:divBdr>
                        <w:top w:val="none" w:sz="0" w:space="0" w:color="auto"/>
                        <w:left w:val="none" w:sz="0" w:space="0" w:color="auto"/>
                        <w:bottom w:val="none" w:sz="0" w:space="0" w:color="auto"/>
                        <w:right w:val="none" w:sz="0" w:space="0" w:color="auto"/>
                      </w:divBdr>
                      <w:divsChild>
                        <w:div w:id="1913155179">
                          <w:marLeft w:val="0"/>
                          <w:marRight w:val="0"/>
                          <w:marTop w:val="0"/>
                          <w:marBottom w:val="0"/>
                          <w:divBdr>
                            <w:top w:val="none" w:sz="0" w:space="0" w:color="auto"/>
                            <w:left w:val="none" w:sz="0" w:space="0" w:color="auto"/>
                            <w:bottom w:val="none" w:sz="0" w:space="0" w:color="auto"/>
                            <w:right w:val="none" w:sz="0" w:space="0" w:color="auto"/>
                          </w:divBdr>
                        </w:div>
                      </w:divsChild>
                    </w:div>
                    <w:div w:id="1630890154">
                      <w:marLeft w:val="900"/>
                      <w:marRight w:val="0"/>
                      <w:marTop w:val="0"/>
                      <w:marBottom w:val="300"/>
                      <w:divBdr>
                        <w:top w:val="none" w:sz="0" w:space="0" w:color="auto"/>
                        <w:left w:val="none" w:sz="0" w:space="0" w:color="auto"/>
                        <w:bottom w:val="none" w:sz="0" w:space="0" w:color="auto"/>
                        <w:right w:val="none" w:sz="0" w:space="0" w:color="auto"/>
                      </w:divBdr>
                    </w:div>
                    <w:div w:id="1315376588">
                      <w:marLeft w:val="1350"/>
                      <w:marRight w:val="0"/>
                      <w:marTop w:val="300"/>
                      <w:marBottom w:val="300"/>
                      <w:divBdr>
                        <w:top w:val="none" w:sz="0" w:space="0" w:color="auto"/>
                        <w:left w:val="none" w:sz="0" w:space="0" w:color="auto"/>
                        <w:bottom w:val="none" w:sz="0" w:space="0" w:color="auto"/>
                        <w:right w:val="none" w:sz="0" w:space="0" w:color="auto"/>
                      </w:divBdr>
                      <w:divsChild>
                        <w:div w:id="1778333955">
                          <w:marLeft w:val="0"/>
                          <w:marRight w:val="0"/>
                          <w:marTop w:val="0"/>
                          <w:marBottom w:val="0"/>
                          <w:divBdr>
                            <w:top w:val="none" w:sz="0" w:space="0" w:color="auto"/>
                            <w:left w:val="none" w:sz="0" w:space="0" w:color="auto"/>
                            <w:bottom w:val="none" w:sz="0" w:space="0" w:color="auto"/>
                            <w:right w:val="none" w:sz="0" w:space="0" w:color="auto"/>
                          </w:divBdr>
                        </w:div>
                      </w:divsChild>
                    </w:div>
                    <w:div w:id="1652170027">
                      <w:marLeft w:val="900"/>
                      <w:marRight w:val="0"/>
                      <w:marTop w:val="0"/>
                      <w:marBottom w:val="300"/>
                      <w:divBdr>
                        <w:top w:val="none" w:sz="0" w:space="0" w:color="auto"/>
                        <w:left w:val="none" w:sz="0" w:space="0" w:color="auto"/>
                        <w:bottom w:val="none" w:sz="0" w:space="0" w:color="auto"/>
                        <w:right w:val="none" w:sz="0" w:space="0" w:color="auto"/>
                      </w:divBdr>
                    </w:div>
                    <w:div w:id="1546334771">
                      <w:marLeft w:val="1350"/>
                      <w:marRight w:val="0"/>
                      <w:marTop w:val="300"/>
                      <w:marBottom w:val="300"/>
                      <w:divBdr>
                        <w:top w:val="none" w:sz="0" w:space="0" w:color="auto"/>
                        <w:left w:val="none" w:sz="0" w:space="0" w:color="auto"/>
                        <w:bottom w:val="none" w:sz="0" w:space="0" w:color="auto"/>
                        <w:right w:val="none" w:sz="0" w:space="0" w:color="auto"/>
                      </w:divBdr>
                      <w:divsChild>
                        <w:div w:id="312680836">
                          <w:marLeft w:val="0"/>
                          <w:marRight w:val="0"/>
                          <w:marTop w:val="0"/>
                          <w:marBottom w:val="0"/>
                          <w:divBdr>
                            <w:top w:val="none" w:sz="0" w:space="0" w:color="auto"/>
                            <w:left w:val="none" w:sz="0" w:space="0" w:color="auto"/>
                            <w:bottom w:val="none" w:sz="0" w:space="0" w:color="auto"/>
                            <w:right w:val="none" w:sz="0" w:space="0" w:color="auto"/>
                          </w:divBdr>
                        </w:div>
                      </w:divsChild>
                    </w:div>
                    <w:div w:id="1499078889">
                      <w:marLeft w:val="900"/>
                      <w:marRight w:val="0"/>
                      <w:marTop w:val="0"/>
                      <w:marBottom w:val="300"/>
                      <w:divBdr>
                        <w:top w:val="none" w:sz="0" w:space="0" w:color="auto"/>
                        <w:left w:val="none" w:sz="0" w:space="0" w:color="auto"/>
                        <w:bottom w:val="none" w:sz="0" w:space="0" w:color="auto"/>
                        <w:right w:val="none" w:sz="0" w:space="0" w:color="auto"/>
                      </w:divBdr>
                    </w:div>
                    <w:div w:id="76247266">
                      <w:marLeft w:val="1350"/>
                      <w:marRight w:val="0"/>
                      <w:marTop w:val="300"/>
                      <w:marBottom w:val="300"/>
                      <w:divBdr>
                        <w:top w:val="none" w:sz="0" w:space="0" w:color="auto"/>
                        <w:left w:val="none" w:sz="0" w:space="0" w:color="auto"/>
                        <w:bottom w:val="none" w:sz="0" w:space="0" w:color="auto"/>
                        <w:right w:val="none" w:sz="0" w:space="0" w:color="auto"/>
                      </w:divBdr>
                      <w:divsChild>
                        <w:div w:id="262760368">
                          <w:marLeft w:val="0"/>
                          <w:marRight w:val="0"/>
                          <w:marTop w:val="0"/>
                          <w:marBottom w:val="0"/>
                          <w:divBdr>
                            <w:top w:val="none" w:sz="0" w:space="0" w:color="auto"/>
                            <w:left w:val="none" w:sz="0" w:space="0" w:color="auto"/>
                            <w:bottom w:val="none" w:sz="0" w:space="0" w:color="auto"/>
                            <w:right w:val="none" w:sz="0" w:space="0" w:color="auto"/>
                          </w:divBdr>
                        </w:div>
                      </w:divsChild>
                    </w:div>
                    <w:div w:id="788548814">
                      <w:marLeft w:val="900"/>
                      <w:marRight w:val="0"/>
                      <w:marTop w:val="0"/>
                      <w:marBottom w:val="300"/>
                      <w:divBdr>
                        <w:top w:val="none" w:sz="0" w:space="0" w:color="auto"/>
                        <w:left w:val="none" w:sz="0" w:space="0" w:color="auto"/>
                        <w:bottom w:val="none" w:sz="0" w:space="0" w:color="auto"/>
                        <w:right w:val="none" w:sz="0" w:space="0" w:color="auto"/>
                      </w:divBdr>
                    </w:div>
                    <w:div w:id="55979647">
                      <w:marLeft w:val="1350"/>
                      <w:marRight w:val="0"/>
                      <w:marTop w:val="300"/>
                      <w:marBottom w:val="300"/>
                      <w:divBdr>
                        <w:top w:val="none" w:sz="0" w:space="0" w:color="auto"/>
                        <w:left w:val="none" w:sz="0" w:space="0" w:color="auto"/>
                        <w:bottom w:val="none" w:sz="0" w:space="0" w:color="auto"/>
                        <w:right w:val="none" w:sz="0" w:space="0" w:color="auto"/>
                      </w:divBdr>
                      <w:divsChild>
                        <w:div w:id="392848234">
                          <w:marLeft w:val="0"/>
                          <w:marRight w:val="0"/>
                          <w:marTop w:val="0"/>
                          <w:marBottom w:val="0"/>
                          <w:divBdr>
                            <w:top w:val="none" w:sz="0" w:space="0" w:color="auto"/>
                            <w:left w:val="none" w:sz="0" w:space="0" w:color="auto"/>
                            <w:bottom w:val="none" w:sz="0" w:space="0" w:color="auto"/>
                            <w:right w:val="none" w:sz="0" w:space="0" w:color="auto"/>
                          </w:divBdr>
                        </w:div>
                      </w:divsChild>
                    </w:div>
                    <w:div w:id="1440687611">
                      <w:marLeft w:val="900"/>
                      <w:marRight w:val="0"/>
                      <w:marTop w:val="0"/>
                      <w:marBottom w:val="300"/>
                      <w:divBdr>
                        <w:top w:val="none" w:sz="0" w:space="0" w:color="auto"/>
                        <w:left w:val="none" w:sz="0" w:space="0" w:color="auto"/>
                        <w:bottom w:val="none" w:sz="0" w:space="0" w:color="auto"/>
                        <w:right w:val="none" w:sz="0" w:space="0" w:color="auto"/>
                      </w:divBdr>
                    </w:div>
                    <w:div w:id="1072310538">
                      <w:marLeft w:val="1350"/>
                      <w:marRight w:val="0"/>
                      <w:marTop w:val="300"/>
                      <w:marBottom w:val="300"/>
                      <w:divBdr>
                        <w:top w:val="none" w:sz="0" w:space="0" w:color="auto"/>
                        <w:left w:val="none" w:sz="0" w:space="0" w:color="auto"/>
                        <w:bottom w:val="none" w:sz="0" w:space="0" w:color="auto"/>
                        <w:right w:val="none" w:sz="0" w:space="0" w:color="auto"/>
                      </w:divBdr>
                      <w:divsChild>
                        <w:div w:id="54834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629480">
      <w:bodyDiv w:val="1"/>
      <w:marLeft w:val="0"/>
      <w:marRight w:val="0"/>
      <w:marTop w:val="0"/>
      <w:marBottom w:val="0"/>
      <w:divBdr>
        <w:top w:val="none" w:sz="0" w:space="0" w:color="auto"/>
        <w:left w:val="none" w:sz="0" w:space="0" w:color="auto"/>
        <w:bottom w:val="none" w:sz="0" w:space="0" w:color="auto"/>
        <w:right w:val="none" w:sz="0" w:space="0" w:color="auto"/>
      </w:divBdr>
      <w:divsChild>
        <w:div w:id="220601538">
          <w:marLeft w:val="0"/>
          <w:marRight w:val="0"/>
          <w:marTop w:val="0"/>
          <w:marBottom w:val="0"/>
          <w:divBdr>
            <w:top w:val="none" w:sz="0" w:space="0" w:color="auto"/>
            <w:left w:val="none" w:sz="0" w:space="0" w:color="auto"/>
            <w:bottom w:val="none" w:sz="0" w:space="0" w:color="auto"/>
            <w:right w:val="none" w:sz="0" w:space="0" w:color="auto"/>
          </w:divBdr>
          <w:divsChild>
            <w:div w:id="1005790678">
              <w:marLeft w:val="0"/>
              <w:marRight w:val="0"/>
              <w:marTop w:val="0"/>
              <w:marBottom w:val="0"/>
              <w:divBdr>
                <w:top w:val="none" w:sz="0" w:space="0" w:color="auto"/>
                <w:left w:val="none" w:sz="0" w:space="0" w:color="auto"/>
                <w:bottom w:val="none" w:sz="0" w:space="0" w:color="auto"/>
                <w:right w:val="none" w:sz="0" w:space="0" w:color="auto"/>
              </w:divBdr>
              <w:divsChild>
                <w:div w:id="1187602531">
                  <w:marLeft w:val="0"/>
                  <w:marRight w:val="0"/>
                  <w:marTop w:val="450"/>
                  <w:marBottom w:val="300"/>
                  <w:divBdr>
                    <w:top w:val="none" w:sz="0" w:space="0" w:color="auto"/>
                    <w:left w:val="none" w:sz="0" w:space="0" w:color="auto"/>
                    <w:bottom w:val="none" w:sz="0" w:space="0" w:color="auto"/>
                    <w:right w:val="none" w:sz="0" w:space="0" w:color="auto"/>
                  </w:divBdr>
                </w:div>
                <w:div w:id="1832061508">
                  <w:marLeft w:val="0"/>
                  <w:marRight w:val="0"/>
                  <w:marTop w:val="0"/>
                  <w:marBottom w:val="450"/>
                  <w:divBdr>
                    <w:top w:val="none" w:sz="0" w:space="0" w:color="auto"/>
                    <w:left w:val="none" w:sz="0" w:space="0" w:color="auto"/>
                    <w:bottom w:val="none" w:sz="0" w:space="0" w:color="auto"/>
                    <w:right w:val="none" w:sz="0" w:space="0" w:color="auto"/>
                  </w:divBdr>
                </w:div>
                <w:div w:id="1887135730">
                  <w:marLeft w:val="525"/>
                  <w:marRight w:val="0"/>
                  <w:marTop w:val="300"/>
                  <w:marBottom w:val="300"/>
                  <w:divBdr>
                    <w:top w:val="none" w:sz="0" w:space="0" w:color="auto"/>
                    <w:left w:val="none" w:sz="0" w:space="0" w:color="auto"/>
                    <w:bottom w:val="none" w:sz="0" w:space="0" w:color="auto"/>
                    <w:right w:val="none" w:sz="0" w:space="0" w:color="auto"/>
                  </w:divBdr>
                </w:div>
                <w:div w:id="1426917940">
                  <w:marLeft w:val="525"/>
                  <w:marRight w:val="0"/>
                  <w:marTop w:val="300"/>
                  <w:marBottom w:val="300"/>
                  <w:divBdr>
                    <w:top w:val="none" w:sz="0" w:space="0" w:color="auto"/>
                    <w:left w:val="none" w:sz="0" w:space="0" w:color="auto"/>
                    <w:bottom w:val="none" w:sz="0" w:space="0" w:color="auto"/>
                    <w:right w:val="none" w:sz="0" w:space="0" w:color="auto"/>
                  </w:divBdr>
                </w:div>
                <w:div w:id="1722292059">
                  <w:marLeft w:val="0"/>
                  <w:marRight w:val="0"/>
                  <w:marTop w:val="0"/>
                  <w:marBottom w:val="0"/>
                  <w:divBdr>
                    <w:top w:val="none" w:sz="0" w:space="0" w:color="auto"/>
                    <w:left w:val="none" w:sz="0" w:space="0" w:color="auto"/>
                    <w:bottom w:val="none" w:sz="0" w:space="0" w:color="auto"/>
                    <w:right w:val="none" w:sz="0" w:space="0" w:color="auto"/>
                  </w:divBdr>
                  <w:divsChild>
                    <w:div w:id="135875923">
                      <w:marLeft w:val="900"/>
                      <w:marRight w:val="0"/>
                      <w:marTop w:val="0"/>
                      <w:marBottom w:val="300"/>
                      <w:divBdr>
                        <w:top w:val="none" w:sz="0" w:space="0" w:color="auto"/>
                        <w:left w:val="none" w:sz="0" w:space="0" w:color="auto"/>
                        <w:bottom w:val="none" w:sz="0" w:space="0" w:color="auto"/>
                        <w:right w:val="none" w:sz="0" w:space="0" w:color="auto"/>
                      </w:divBdr>
                    </w:div>
                    <w:div w:id="1212884899">
                      <w:marLeft w:val="1350"/>
                      <w:marRight w:val="0"/>
                      <w:marTop w:val="300"/>
                      <w:marBottom w:val="300"/>
                      <w:divBdr>
                        <w:top w:val="none" w:sz="0" w:space="0" w:color="auto"/>
                        <w:left w:val="none" w:sz="0" w:space="0" w:color="auto"/>
                        <w:bottom w:val="none" w:sz="0" w:space="0" w:color="auto"/>
                        <w:right w:val="none" w:sz="0" w:space="0" w:color="auto"/>
                      </w:divBdr>
                      <w:divsChild>
                        <w:div w:id="2101828246">
                          <w:marLeft w:val="0"/>
                          <w:marRight w:val="0"/>
                          <w:marTop w:val="0"/>
                          <w:marBottom w:val="0"/>
                          <w:divBdr>
                            <w:top w:val="none" w:sz="0" w:space="0" w:color="auto"/>
                            <w:left w:val="none" w:sz="0" w:space="0" w:color="auto"/>
                            <w:bottom w:val="none" w:sz="0" w:space="0" w:color="auto"/>
                            <w:right w:val="none" w:sz="0" w:space="0" w:color="auto"/>
                          </w:divBdr>
                        </w:div>
                      </w:divsChild>
                    </w:div>
                    <w:div w:id="507330429">
                      <w:marLeft w:val="900"/>
                      <w:marRight w:val="0"/>
                      <w:marTop w:val="0"/>
                      <w:marBottom w:val="300"/>
                      <w:divBdr>
                        <w:top w:val="none" w:sz="0" w:space="0" w:color="auto"/>
                        <w:left w:val="none" w:sz="0" w:space="0" w:color="auto"/>
                        <w:bottom w:val="none" w:sz="0" w:space="0" w:color="auto"/>
                        <w:right w:val="none" w:sz="0" w:space="0" w:color="auto"/>
                      </w:divBdr>
                    </w:div>
                    <w:div w:id="1404643687">
                      <w:marLeft w:val="1350"/>
                      <w:marRight w:val="0"/>
                      <w:marTop w:val="300"/>
                      <w:marBottom w:val="300"/>
                      <w:divBdr>
                        <w:top w:val="none" w:sz="0" w:space="0" w:color="auto"/>
                        <w:left w:val="none" w:sz="0" w:space="0" w:color="auto"/>
                        <w:bottom w:val="none" w:sz="0" w:space="0" w:color="auto"/>
                        <w:right w:val="none" w:sz="0" w:space="0" w:color="auto"/>
                      </w:divBdr>
                      <w:divsChild>
                        <w:div w:id="110133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7405">
                  <w:marLeft w:val="525"/>
                  <w:marRight w:val="0"/>
                  <w:marTop w:val="300"/>
                  <w:marBottom w:val="300"/>
                  <w:divBdr>
                    <w:top w:val="none" w:sz="0" w:space="0" w:color="auto"/>
                    <w:left w:val="none" w:sz="0" w:space="0" w:color="auto"/>
                    <w:bottom w:val="none" w:sz="0" w:space="0" w:color="auto"/>
                    <w:right w:val="none" w:sz="0" w:space="0" w:color="auto"/>
                  </w:divBdr>
                </w:div>
                <w:div w:id="1429422619">
                  <w:marLeft w:val="0"/>
                  <w:marRight w:val="0"/>
                  <w:marTop w:val="0"/>
                  <w:marBottom w:val="0"/>
                  <w:divBdr>
                    <w:top w:val="none" w:sz="0" w:space="0" w:color="auto"/>
                    <w:left w:val="none" w:sz="0" w:space="0" w:color="auto"/>
                    <w:bottom w:val="none" w:sz="0" w:space="0" w:color="auto"/>
                    <w:right w:val="none" w:sz="0" w:space="0" w:color="auto"/>
                  </w:divBdr>
                  <w:divsChild>
                    <w:div w:id="736436809">
                      <w:marLeft w:val="900"/>
                      <w:marRight w:val="0"/>
                      <w:marTop w:val="0"/>
                      <w:marBottom w:val="300"/>
                      <w:divBdr>
                        <w:top w:val="none" w:sz="0" w:space="0" w:color="auto"/>
                        <w:left w:val="none" w:sz="0" w:space="0" w:color="auto"/>
                        <w:bottom w:val="none" w:sz="0" w:space="0" w:color="auto"/>
                        <w:right w:val="none" w:sz="0" w:space="0" w:color="auto"/>
                      </w:divBdr>
                    </w:div>
                    <w:div w:id="985088624">
                      <w:marLeft w:val="1350"/>
                      <w:marRight w:val="0"/>
                      <w:marTop w:val="300"/>
                      <w:marBottom w:val="300"/>
                      <w:divBdr>
                        <w:top w:val="none" w:sz="0" w:space="0" w:color="auto"/>
                        <w:left w:val="none" w:sz="0" w:space="0" w:color="auto"/>
                        <w:bottom w:val="none" w:sz="0" w:space="0" w:color="auto"/>
                        <w:right w:val="none" w:sz="0" w:space="0" w:color="auto"/>
                      </w:divBdr>
                      <w:divsChild>
                        <w:div w:id="162962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474229">
                  <w:marLeft w:val="525"/>
                  <w:marRight w:val="0"/>
                  <w:marTop w:val="300"/>
                  <w:marBottom w:val="300"/>
                  <w:divBdr>
                    <w:top w:val="none" w:sz="0" w:space="0" w:color="auto"/>
                    <w:left w:val="none" w:sz="0" w:space="0" w:color="auto"/>
                    <w:bottom w:val="none" w:sz="0" w:space="0" w:color="auto"/>
                    <w:right w:val="none" w:sz="0" w:space="0" w:color="auto"/>
                  </w:divBdr>
                </w:div>
                <w:div w:id="443575709">
                  <w:marLeft w:val="0"/>
                  <w:marRight w:val="0"/>
                  <w:marTop w:val="0"/>
                  <w:marBottom w:val="0"/>
                  <w:divBdr>
                    <w:top w:val="none" w:sz="0" w:space="0" w:color="auto"/>
                    <w:left w:val="none" w:sz="0" w:space="0" w:color="auto"/>
                    <w:bottom w:val="none" w:sz="0" w:space="0" w:color="auto"/>
                    <w:right w:val="none" w:sz="0" w:space="0" w:color="auto"/>
                  </w:divBdr>
                  <w:divsChild>
                    <w:div w:id="356737579">
                      <w:marLeft w:val="900"/>
                      <w:marRight w:val="0"/>
                      <w:marTop w:val="0"/>
                      <w:marBottom w:val="300"/>
                      <w:divBdr>
                        <w:top w:val="none" w:sz="0" w:space="0" w:color="auto"/>
                        <w:left w:val="none" w:sz="0" w:space="0" w:color="auto"/>
                        <w:bottom w:val="none" w:sz="0" w:space="0" w:color="auto"/>
                        <w:right w:val="none" w:sz="0" w:space="0" w:color="auto"/>
                      </w:divBdr>
                    </w:div>
                    <w:div w:id="845486870">
                      <w:marLeft w:val="1350"/>
                      <w:marRight w:val="0"/>
                      <w:marTop w:val="300"/>
                      <w:marBottom w:val="300"/>
                      <w:divBdr>
                        <w:top w:val="none" w:sz="0" w:space="0" w:color="auto"/>
                        <w:left w:val="none" w:sz="0" w:space="0" w:color="auto"/>
                        <w:bottom w:val="none" w:sz="0" w:space="0" w:color="auto"/>
                        <w:right w:val="none" w:sz="0" w:space="0" w:color="auto"/>
                      </w:divBdr>
                      <w:divsChild>
                        <w:div w:id="52811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1" Type="http://schemas.openxmlformats.org/officeDocument/2006/relationships/control" Target="activeX/activeX16.xml"/><Relationship Id="rId42" Type="http://schemas.openxmlformats.org/officeDocument/2006/relationships/image" Target="media/image4.wmf"/><Relationship Id="rId63" Type="http://schemas.openxmlformats.org/officeDocument/2006/relationships/control" Target="activeX/activeX56.xml"/><Relationship Id="rId84" Type="http://schemas.openxmlformats.org/officeDocument/2006/relationships/control" Target="activeX/activeX77.xml"/><Relationship Id="rId138" Type="http://schemas.openxmlformats.org/officeDocument/2006/relationships/control" Target="activeX/activeX131.xml"/><Relationship Id="rId159" Type="http://schemas.openxmlformats.org/officeDocument/2006/relationships/control" Target="activeX/activeX152.xml"/><Relationship Id="rId170" Type="http://schemas.openxmlformats.org/officeDocument/2006/relationships/control" Target="activeX/activeX163.xml"/><Relationship Id="rId191" Type="http://schemas.openxmlformats.org/officeDocument/2006/relationships/control" Target="activeX/activeX184.xml"/><Relationship Id="rId196" Type="http://schemas.openxmlformats.org/officeDocument/2006/relationships/control" Target="activeX/activeX189.xml"/><Relationship Id="rId200" Type="http://schemas.openxmlformats.org/officeDocument/2006/relationships/fontTable" Target="fontTable.xml"/><Relationship Id="rId16" Type="http://schemas.openxmlformats.org/officeDocument/2006/relationships/control" Target="activeX/activeX11.xml"/><Relationship Id="rId107" Type="http://schemas.openxmlformats.org/officeDocument/2006/relationships/control" Target="activeX/activeX100.xml"/><Relationship Id="rId11" Type="http://schemas.openxmlformats.org/officeDocument/2006/relationships/control" Target="activeX/activeX6.xml"/><Relationship Id="rId32" Type="http://schemas.openxmlformats.org/officeDocument/2006/relationships/control" Target="activeX/activeX26.xml"/><Relationship Id="rId37" Type="http://schemas.openxmlformats.org/officeDocument/2006/relationships/control" Target="activeX/activeX31.xml"/><Relationship Id="rId53" Type="http://schemas.openxmlformats.org/officeDocument/2006/relationships/control" Target="activeX/activeX46.xml"/><Relationship Id="rId58" Type="http://schemas.openxmlformats.org/officeDocument/2006/relationships/control" Target="activeX/activeX51.xml"/><Relationship Id="rId74" Type="http://schemas.openxmlformats.org/officeDocument/2006/relationships/control" Target="activeX/activeX67.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control" Target="activeX/activeX116.xml"/><Relationship Id="rId128" Type="http://schemas.openxmlformats.org/officeDocument/2006/relationships/control" Target="activeX/activeX121.xml"/><Relationship Id="rId144" Type="http://schemas.openxmlformats.org/officeDocument/2006/relationships/control" Target="activeX/activeX137.xml"/><Relationship Id="rId149" Type="http://schemas.openxmlformats.org/officeDocument/2006/relationships/control" Target="activeX/activeX142.xml"/><Relationship Id="rId5" Type="http://schemas.openxmlformats.org/officeDocument/2006/relationships/control" Target="activeX/activeX1.xml"/><Relationship Id="rId90" Type="http://schemas.openxmlformats.org/officeDocument/2006/relationships/control" Target="activeX/activeX83.xml"/><Relationship Id="rId95" Type="http://schemas.openxmlformats.org/officeDocument/2006/relationships/control" Target="activeX/activeX88.xml"/><Relationship Id="rId160" Type="http://schemas.openxmlformats.org/officeDocument/2006/relationships/control" Target="activeX/activeX153.xml"/><Relationship Id="rId165" Type="http://schemas.openxmlformats.org/officeDocument/2006/relationships/control" Target="activeX/activeX158.xml"/><Relationship Id="rId181" Type="http://schemas.openxmlformats.org/officeDocument/2006/relationships/control" Target="activeX/activeX174.xml"/><Relationship Id="rId186" Type="http://schemas.openxmlformats.org/officeDocument/2006/relationships/control" Target="activeX/activeX179.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6.xml"/><Relationship Id="rId48" Type="http://schemas.openxmlformats.org/officeDocument/2006/relationships/control" Target="activeX/activeX41.xml"/><Relationship Id="rId64" Type="http://schemas.openxmlformats.org/officeDocument/2006/relationships/control" Target="activeX/activeX57.xml"/><Relationship Id="rId69" Type="http://schemas.openxmlformats.org/officeDocument/2006/relationships/control" Target="activeX/activeX62.xml"/><Relationship Id="rId113" Type="http://schemas.openxmlformats.org/officeDocument/2006/relationships/control" Target="activeX/activeX106.xml"/><Relationship Id="rId118" Type="http://schemas.openxmlformats.org/officeDocument/2006/relationships/control" Target="activeX/activeX111.xml"/><Relationship Id="rId134" Type="http://schemas.openxmlformats.org/officeDocument/2006/relationships/control" Target="activeX/activeX127.xml"/><Relationship Id="rId139" Type="http://schemas.openxmlformats.org/officeDocument/2006/relationships/control" Target="activeX/activeX132.xml"/><Relationship Id="rId80" Type="http://schemas.openxmlformats.org/officeDocument/2006/relationships/control" Target="activeX/activeX73.xml"/><Relationship Id="rId85" Type="http://schemas.openxmlformats.org/officeDocument/2006/relationships/control" Target="activeX/activeX78.xml"/><Relationship Id="rId150" Type="http://schemas.openxmlformats.org/officeDocument/2006/relationships/control" Target="activeX/activeX143.xml"/><Relationship Id="rId155" Type="http://schemas.openxmlformats.org/officeDocument/2006/relationships/control" Target="activeX/activeX148.xml"/><Relationship Id="rId171" Type="http://schemas.openxmlformats.org/officeDocument/2006/relationships/control" Target="activeX/activeX164.xml"/><Relationship Id="rId176" Type="http://schemas.openxmlformats.org/officeDocument/2006/relationships/control" Target="activeX/activeX169.xml"/><Relationship Id="rId192" Type="http://schemas.openxmlformats.org/officeDocument/2006/relationships/control" Target="activeX/activeX185.xml"/><Relationship Id="rId197" Type="http://schemas.openxmlformats.org/officeDocument/2006/relationships/control" Target="activeX/activeX190.xml"/><Relationship Id="rId201" Type="http://schemas.openxmlformats.org/officeDocument/2006/relationships/theme" Target="theme/theme1.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7.xml"/><Relationship Id="rId38" Type="http://schemas.openxmlformats.org/officeDocument/2006/relationships/control" Target="activeX/activeX32.xml"/><Relationship Id="rId59" Type="http://schemas.openxmlformats.org/officeDocument/2006/relationships/control" Target="activeX/activeX52.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control" Target="activeX/activeX117.xml"/><Relationship Id="rId129" Type="http://schemas.openxmlformats.org/officeDocument/2006/relationships/control" Target="activeX/activeX122.xml"/><Relationship Id="rId54" Type="http://schemas.openxmlformats.org/officeDocument/2006/relationships/control" Target="activeX/activeX47.xml"/><Relationship Id="rId70" Type="http://schemas.openxmlformats.org/officeDocument/2006/relationships/control" Target="activeX/activeX63.xml"/><Relationship Id="rId75" Type="http://schemas.openxmlformats.org/officeDocument/2006/relationships/control" Target="activeX/activeX68.xml"/><Relationship Id="rId91" Type="http://schemas.openxmlformats.org/officeDocument/2006/relationships/control" Target="activeX/activeX84.xml"/><Relationship Id="rId96" Type="http://schemas.openxmlformats.org/officeDocument/2006/relationships/control" Target="activeX/activeX89.xml"/><Relationship Id="rId140" Type="http://schemas.openxmlformats.org/officeDocument/2006/relationships/control" Target="activeX/activeX133.xml"/><Relationship Id="rId145" Type="http://schemas.openxmlformats.org/officeDocument/2006/relationships/control" Target="activeX/activeX138.xml"/><Relationship Id="rId161" Type="http://schemas.openxmlformats.org/officeDocument/2006/relationships/control" Target="activeX/activeX154.xml"/><Relationship Id="rId166" Type="http://schemas.openxmlformats.org/officeDocument/2006/relationships/control" Target="activeX/activeX159.xml"/><Relationship Id="rId182" Type="http://schemas.openxmlformats.org/officeDocument/2006/relationships/control" Target="activeX/activeX175.xml"/><Relationship Id="rId187" Type="http://schemas.openxmlformats.org/officeDocument/2006/relationships/control" Target="activeX/activeX180.xml"/><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2.xml"/><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7.xml"/><Relationship Id="rId60" Type="http://schemas.openxmlformats.org/officeDocument/2006/relationships/control" Target="activeX/activeX53.xml"/><Relationship Id="rId65" Type="http://schemas.openxmlformats.org/officeDocument/2006/relationships/control" Target="activeX/activeX58.xml"/><Relationship Id="rId81" Type="http://schemas.openxmlformats.org/officeDocument/2006/relationships/control" Target="activeX/activeX74.xml"/><Relationship Id="rId86" Type="http://schemas.openxmlformats.org/officeDocument/2006/relationships/control" Target="activeX/activeX79.xml"/><Relationship Id="rId130" Type="http://schemas.openxmlformats.org/officeDocument/2006/relationships/control" Target="activeX/activeX123.xml"/><Relationship Id="rId135" Type="http://schemas.openxmlformats.org/officeDocument/2006/relationships/control" Target="activeX/activeX128.xml"/><Relationship Id="rId151" Type="http://schemas.openxmlformats.org/officeDocument/2006/relationships/control" Target="activeX/activeX144.xml"/><Relationship Id="rId156" Type="http://schemas.openxmlformats.org/officeDocument/2006/relationships/control" Target="activeX/activeX149.xml"/><Relationship Id="rId177" Type="http://schemas.openxmlformats.org/officeDocument/2006/relationships/control" Target="activeX/activeX170.xml"/><Relationship Id="rId198" Type="http://schemas.openxmlformats.org/officeDocument/2006/relationships/control" Target="activeX/activeX191.xml"/><Relationship Id="rId172" Type="http://schemas.openxmlformats.org/officeDocument/2006/relationships/control" Target="activeX/activeX165.xml"/><Relationship Id="rId193" Type="http://schemas.openxmlformats.org/officeDocument/2006/relationships/control" Target="activeX/activeX186.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3.xml"/><Relationship Id="rId109" Type="http://schemas.openxmlformats.org/officeDocument/2006/relationships/control" Target="activeX/activeX102.xml"/><Relationship Id="rId34" Type="http://schemas.openxmlformats.org/officeDocument/2006/relationships/control" Target="activeX/activeX28.xml"/><Relationship Id="rId50" Type="http://schemas.openxmlformats.org/officeDocument/2006/relationships/control" Target="activeX/activeX43.xml"/><Relationship Id="rId55" Type="http://schemas.openxmlformats.org/officeDocument/2006/relationships/control" Target="activeX/activeX48.xml"/><Relationship Id="rId76" Type="http://schemas.openxmlformats.org/officeDocument/2006/relationships/control" Target="activeX/activeX69.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control" Target="activeX/activeX118.xml"/><Relationship Id="rId141" Type="http://schemas.openxmlformats.org/officeDocument/2006/relationships/control" Target="activeX/activeX134.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7" Type="http://schemas.openxmlformats.org/officeDocument/2006/relationships/control" Target="activeX/activeX2.xml"/><Relationship Id="rId71" Type="http://schemas.openxmlformats.org/officeDocument/2006/relationships/control" Target="activeX/activeX64.xml"/><Relationship Id="rId92" Type="http://schemas.openxmlformats.org/officeDocument/2006/relationships/control" Target="activeX/activeX85.xml"/><Relationship Id="rId162" Type="http://schemas.openxmlformats.org/officeDocument/2006/relationships/control" Target="activeX/activeX155.xml"/><Relationship Id="rId183" Type="http://schemas.openxmlformats.org/officeDocument/2006/relationships/control" Target="activeX/activeX176.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4.xml"/><Relationship Id="rId45" Type="http://schemas.openxmlformats.org/officeDocument/2006/relationships/control" Target="activeX/activeX38.xml"/><Relationship Id="rId66" Type="http://schemas.openxmlformats.org/officeDocument/2006/relationships/control" Target="activeX/activeX59.xml"/><Relationship Id="rId87" Type="http://schemas.openxmlformats.org/officeDocument/2006/relationships/control" Target="activeX/activeX80.xml"/><Relationship Id="rId110" Type="http://schemas.openxmlformats.org/officeDocument/2006/relationships/control" Target="activeX/activeX103.xml"/><Relationship Id="rId115" Type="http://schemas.openxmlformats.org/officeDocument/2006/relationships/control" Target="activeX/activeX108.xml"/><Relationship Id="rId131" Type="http://schemas.openxmlformats.org/officeDocument/2006/relationships/control" Target="activeX/activeX124.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61" Type="http://schemas.openxmlformats.org/officeDocument/2006/relationships/control" Target="activeX/activeX54.xml"/><Relationship Id="rId82" Type="http://schemas.openxmlformats.org/officeDocument/2006/relationships/control" Target="activeX/activeX75.xml"/><Relationship Id="rId152" Type="http://schemas.openxmlformats.org/officeDocument/2006/relationships/control" Target="activeX/activeX145.xml"/><Relationship Id="rId173" Type="http://schemas.openxmlformats.org/officeDocument/2006/relationships/control" Target="activeX/activeX166.xml"/><Relationship Id="rId194" Type="http://schemas.openxmlformats.org/officeDocument/2006/relationships/control" Target="activeX/activeX187.xml"/><Relationship Id="rId199" Type="http://schemas.openxmlformats.org/officeDocument/2006/relationships/control" Target="activeX/activeX192.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image" Target="media/image3.wmf"/><Relationship Id="rId35" Type="http://schemas.openxmlformats.org/officeDocument/2006/relationships/control" Target="activeX/activeX29.xml"/><Relationship Id="rId56" Type="http://schemas.openxmlformats.org/officeDocument/2006/relationships/control" Target="activeX/activeX49.xml"/><Relationship Id="rId77" Type="http://schemas.openxmlformats.org/officeDocument/2006/relationships/control" Target="activeX/activeX70.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8" Type="http://schemas.openxmlformats.org/officeDocument/2006/relationships/control" Target="activeX/activeX3.xml"/><Relationship Id="rId51" Type="http://schemas.openxmlformats.org/officeDocument/2006/relationships/control" Target="activeX/activeX44.xml"/><Relationship Id="rId72" Type="http://schemas.openxmlformats.org/officeDocument/2006/relationships/control" Target="activeX/activeX65.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189" Type="http://schemas.openxmlformats.org/officeDocument/2006/relationships/control" Target="activeX/activeX182.xml"/><Relationship Id="rId3" Type="http://schemas.openxmlformats.org/officeDocument/2006/relationships/webSettings" Target="webSettings.xml"/><Relationship Id="rId25" Type="http://schemas.openxmlformats.org/officeDocument/2006/relationships/control" Target="activeX/activeX20.xml"/><Relationship Id="rId46" Type="http://schemas.openxmlformats.org/officeDocument/2006/relationships/control" Target="activeX/activeX39.xml"/><Relationship Id="rId67" Type="http://schemas.openxmlformats.org/officeDocument/2006/relationships/control" Target="activeX/activeX60.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control" Target="activeX/activeX35.xml"/><Relationship Id="rId62" Type="http://schemas.openxmlformats.org/officeDocument/2006/relationships/control" Target="activeX/activeX55.xml"/><Relationship Id="rId83" Type="http://schemas.openxmlformats.org/officeDocument/2006/relationships/control" Target="activeX/activeX76.xml"/><Relationship Id="rId88" Type="http://schemas.openxmlformats.org/officeDocument/2006/relationships/control" Target="activeX/activeX81.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79" Type="http://schemas.openxmlformats.org/officeDocument/2006/relationships/control" Target="activeX/activeX172.xml"/><Relationship Id="rId195" Type="http://schemas.openxmlformats.org/officeDocument/2006/relationships/control" Target="activeX/activeX188.xml"/><Relationship Id="rId190" Type="http://schemas.openxmlformats.org/officeDocument/2006/relationships/control" Target="activeX/activeX183.xml"/><Relationship Id="rId15" Type="http://schemas.openxmlformats.org/officeDocument/2006/relationships/control" Target="activeX/activeX10.xml"/><Relationship Id="rId36" Type="http://schemas.openxmlformats.org/officeDocument/2006/relationships/control" Target="activeX/activeX30.xml"/><Relationship Id="rId57" Type="http://schemas.openxmlformats.org/officeDocument/2006/relationships/control" Target="activeX/activeX50.xml"/><Relationship Id="rId106" Type="http://schemas.openxmlformats.org/officeDocument/2006/relationships/control" Target="activeX/activeX99.xml"/><Relationship Id="rId127" Type="http://schemas.openxmlformats.org/officeDocument/2006/relationships/control" Target="activeX/activeX120.xml"/><Relationship Id="rId10" Type="http://schemas.openxmlformats.org/officeDocument/2006/relationships/control" Target="activeX/activeX5.xml"/><Relationship Id="rId31" Type="http://schemas.openxmlformats.org/officeDocument/2006/relationships/control" Target="activeX/activeX25.xml"/><Relationship Id="rId52" Type="http://schemas.openxmlformats.org/officeDocument/2006/relationships/control" Target="activeX/activeX45.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3.xml"/><Relationship Id="rId26" Type="http://schemas.openxmlformats.org/officeDocument/2006/relationships/control" Target="activeX/activeX21.xml"/><Relationship Id="rId47" Type="http://schemas.openxmlformats.org/officeDocument/2006/relationships/control" Target="activeX/activeX40.xml"/><Relationship Id="rId68" Type="http://schemas.openxmlformats.org/officeDocument/2006/relationships/control" Target="activeX/activeX61.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1821</Words>
  <Characters>10386</Characters>
  <Application>Microsoft Office Word</Application>
  <DocSecurity>0</DocSecurity>
  <Lines>86</Lines>
  <Paragraphs>24</Paragraphs>
  <ScaleCrop>false</ScaleCrop>
  <Company/>
  <LinksUpToDate>false</LinksUpToDate>
  <CharactersWithSpaces>12183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2016-05-19T08:18:00Z</dcterms:created>
  <dcterms:modified xsi:type="dcterms:W3CDTF">2016-05-19T08:23:00Z</dcterms:modified>
</cp:coreProperties>
</file>