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500" w:lineRule="exact"/>
        <w:jc w:val="center"/>
        <w:rPr>
          <w:rFonts w:hint="eastAsia" w:ascii="方正小标宋简体" w:hAnsi="方正小标宋简体" w:eastAsia="方正小标宋简体" w:cs="方正小标宋简体"/>
          <w:color w:val="auto"/>
          <w:sz w:val="44"/>
          <w:szCs w:val="44"/>
          <w:u w:val="none"/>
        </w:rPr>
      </w:pPr>
    </w:p>
    <w:p>
      <w:pPr>
        <w:keepNext w:val="0"/>
        <w:keepLines w:val="0"/>
        <w:pageBreakBefore w:val="0"/>
        <w:kinsoku/>
        <w:wordWrap/>
        <w:overflowPunct/>
        <w:topLinePunct w:val="0"/>
        <w:autoSpaceDE/>
        <w:autoSpaceDN/>
        <w:bidi w:val="0"/>
        <w:spacing w:line="500" w:lineRule="exact"/>
        <w:jc w:val="center"/>
        <w:rPr>
          <w:rFonts w:hint="eastAsia" w:ascii="方正小标宋简体" w:hAnsi="方正小标宋简体" w:eastAsia="方正小标宋简体" w:cs="方正小标宋简体"/>
          <w:color w:val="auto"/>
          <w:sz w:val="44"/>
          <w:szCs w:val="44"/>
          <w:u w:val="none"/>
        </w:rPr>
      </w:pPr>
    </w:p>
    <w:p>
      <w:pPr>
        <w:keepNext w:val="0"/>
        <w:keepLines w:val="0"/>
        <w:pageBreakBefore w:val="0"/>
        <w:kinsoku/>
        <w:wordWrap/>
        <w:overflowPunct/>
        <w:topLinePunct w:val="0"/>
        <w:autoSpaceDE/>
        <w:autoSpaceDN/>
        <w:bidi w:val="0"/>
        <w:spacing w:line="500" w:lineRule="exact"/>
        <w:jc w:val="center"/>
        <w:rPr>
          <w:rFonts w:hint="eastAsia" w:ascii="方正小标宋简体" w:hAnsi="方正小标宋简体" w:eastAsia="方正小标宋简体" w:cs="方正小标宋简体"/>
          <w:color w:val="auto"/>
          <w:sz w:val="44"/>
          <w:szCs w:val="44"/>
          <w:u w:val="none"/>
        </w:rPr>
      </w:pPr>
      <w:r>
        <w:rPr>
          <w:rFonts w:hint="eastAsia" w:ascii="方正小标宋简体" w:hAnsi="方正小标宋简体" w:eastAsia="方正小标宋简体" w:cs="方正小标宋简体"/>
          <w:color w:val="auto"/>
          <w:sz w:val="44"/>
          <w:szCs w:val="44"/>
          <w:u w:val="none"/>
        </w:rPr>
        <w:t>萍乡开放大学2021年度发展报告</w:t>
      </w:r>
    </w:p>
    <w:p>
      <w:pPr>
        <w:pStyle w:val="2"/>
        <w:rPr>
          <w:rFonts w:hint="eastAsia"/>
          <w:u w:val="none"/>
        </w:rPr>
      </w:pPr>
    </w:p>
    <w:p>
      <w:pPr>
        <w:keepNext w:val="0"/>
        <w:keepLines w:val="0"/>
        <w:pageBreakBefore w:val="0"/>
        <w:numPr>
          <w:ilvl w:val="0"/>
          <w:numId w:val="1"/>
        </w:numPr>
        <w:kinsoku/>
        <w:wordWrap/>
        <w:overflowPunct/>
        <w:topLinePunct w:val="0"/>
        <w:autoSpaceDE/>
        <w:autoSpaceDN/>
        <w:bidi w:val="0"/>
        <w:spacing w:line="500" w:lineRule="exact"/>
        <w:ind w:firstLine="640" w:firstLineChars="200"/>
        <w:jc w:val="both"/>
        <w:rPr>
          <w:rFonts w:ascii="黑体" w:hAnsi="黑体" w:eastAsia="黑体" w:cs="黑体"/>
          <w:color w:val="auto"/>
          <w:sz w:val="32"/>
          <w:szCs w:val="32"/>
          <w:u w:val="none"/>
        </w:rPr>
      </w:pPr>
      <w:r>
        <w:rPr>
          <w:rFonts w:hint="eastAsia" w:ascii="黑体" w:hAnsi="黑体" w:eastAsia="黑体" w:cs="黑体"/>
          <w:color w:val="auto"/>
          <w:sz w:val="32"/>
          <w:szCs w:val="32"/>
          <w:u w:val="none"/>
        </w:rPr>
        <w:t>省校重点工作推进情况</w:t>
      </w:r>
    </w:p>
    <w:p>
      <w:pPr>
        <w:keepNext w:val="0"/>
        <w:keepLines w:val="0"/>
        <w:pageBreakBefore w:val="0"/>
        <w:kinsoku/>
        <w:wordWrap/>
        <w:overflowPunct/>
        <w:topLinePunct w:val="0"/>
        <w:autoSpaceDE/>
        <w:autoSpaceDN/>
        <w:bidi w:val="0"/>
        <w:spacing w:line="500" w:lineRule="exact"/>
        <w:ind w:firstLine="640" w:firstLineChars="200"/>
        <w:jc w:val="both"/>
        <w:rPr>
          <w:rFonts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萍乡开放大学</w:t>
      </w:r>
      <w:r>
        <w:rPr>
          <w:rFonts w:hint="eastAsia" w:ascii="仿宋" w:hAnsi="仿宋" w:eastAsia="仿宋" w:cs="仿宋"/>
          <w:color w:val="auto"/>
          <w:sz w:val="32"/>
          <w:szCs w:val="32"/>
          <w:u w:val="none"/>
        </w:rPr>
        <w:t>坚持以习近平新时代中国特色社会主义思想为指导，深入贯彻落实党的十九大和十九届二中、三中、四中、五中、六中全会精神和省第十五次党代会精神，贯彻落实习近平总书记重要讲话和重要指示批示精神，特别是贯彻习近平总书记“七一”重要讲话精神和视察江西重要讲话精神以及党中央重大决策部署和省委、市委工作要求，提高站位，强化担当，坚定不移落实管党治党责任，狠抓落实，改革创新，全面推进质量提升工程，真抓实干，锐意进取，加快推进学校转型发展。2021年</w:t>
      </w:r>
      <w:r>
        <w:rPr>
          <w:rFonts w:hint="eastAsia" w:ascii="仿宋" w:hAnsi="仿宋" w:eastAsia="仿宋" w:cs="仿宋"/>
          <w:color w:val="auto"/>
          <w:sz w:val="32"/>
          <w:szCs w:val="32"/>
          <w:u w:val="none"/>
          <w:lang w:eastAsia="zh-CN"/>
        </w:rPr>
        <w:t>完成</w:t>
      </w:r>
      <w:r>
        <w:rPr>
          <w:rFonts w:hint="eastAsia" w:ascii="仿宋" w:hAnsi="仿宋" w:eastAsia="仿宋" w:cs="仿宋"/>
          <w:color w:val="auto"/>
          <w:sz w:val="32"/>
          <w:szCs w:val="32"/>
          <w:u w:val="none"/>
          <w:lang w:val="en-US" w:eastAsia="zh-CN"/>
        </w:rPr>
        <w:t>4所开放学院</w:t>
      </w:r>
      <w:r>
        <w:rPr>
          <w:rFonts w:hint="eastAsia" w:ascii="仿宋" w:hAnsi="仿宋" w:eastAsia="仿宋" w:cs="仿宋"/>
          <w:color w:val="auto"/>
          <w:sz w:val="32"/>
          <w:szCs w:val="32"/>
          <w:u w:val="none"/>
          <w:lang w:eastAsia="zh-CN"/>
        </w:rPr>
        <w:t>更名工作；</w:t>
      </w:r>
      <w:r>
        <w:rPr>
          <w:rFonts w:hint="eastAsia" w:ascii="仿宋" w:hAnsi="仿宋" w:eastAsia="仿宋" w:cs="仿宋"/>
          <w:color w:val="auto"/>
          <w:sz w:val="32"/>
          <w:szCs w:val="32"/>
          <w:u w:val="none"/>
        </w:rPr>
        <w:t>学校被评为市教育系统“基层党建三化示范校”；机关党支部被评为全市教育系统先进基层党组织；学校获全省开大综合业务考评优秀单位，获江西开放大学“网上重走长征路”暨线上“红色走读”活动、第七届中国国际“互联网+”大学生创新创业大赛全省开放大学系统选拔赛、江西开放大学“赣鄱学子心向党”系列活动组织奖，获江西开放大学“赣鄱学子心向党”系列活动红色走读方案三等奖；教师获奖和学生获奖涉及28个奖项80余人次。</w:t>
      </w:r>
    </w:p>
    <w:p>
      <w:pPr>
        <w:keepNext w:val="0"/>
        <w:keepLines w:val="0"/>
        <w:pageBreakBefore w:val="0"/>
        <w:numPr>
          <w:ilvl w:val="0"/>
          <w:numId w:val="1"/>
        </w:numPr>
        <w:kinsoku/>
        <w:wordWrap/>
        <w:overflowPunct/>
        <w:topLinePunct w:val="0"/>
        <w:autoSpaceDE/>
        <w:autoSpaceDN/>
        <w:bidi w:val="0"/>
        <w:spacing w:line="500" w:lineRule="exact"/>
        <w:ind w:firstLine="640" w:firstLineChars="200"/>
        <w:jc w:val="both"/>
        <w:rPr>
          <w:rFonts w:ascii="黑体" w:hAnsi="黑体" w:eastAsia="黑体" w:cs="黑体"/>
          <w:color w:val="auto"/>
          <w:sz w:val="32"/>
          <w:szCs w:val="32"/>
          <w:u w:val="none"/>
        </w:rPr>
      </w:pPr>
      <w:r>
        <w:rPr>
          <w:rFonts w:hint="eastAsia" w:ascii="黑体" w:hAnsi="黑体" w:eastAsia="黑体" w:cs="黑体"/>
          <w:color w:val="auto"/>
          <w:sz w:val="32"/>
          <w:szCs w:val="32"/>
          <w:u w:val="none"/>
        </w:rPr>
        <w:t xml:space="preserve">人才培养 </w:t>
      </w:r>
    </w:p>
    <w:p>
      <w:pPr>
        <w:keepNext w:val="0"/>
        <w:keepLines w:val="0"/>
        <w:pageBreakBefore w:val="0"/>
        <w:kinsoku/>
        <w:wordWrap/>
        <w:overflowPunct/>
        <w:topLinePunct w:val="0"/>
        <w:autoSpaceDE/>
        <w:autoSpaceDN/>
        <w:bidi w:val="0"/>
        <w:spacing w:line="500" w:lineRule="exact"/>
        <w:ind w:firstLine="640" w:firstLineChars="200"/>
        <w:jc w:val="both"/>
        <w:outlineLvl w:val="0"/>
        <w:rPr>
          <w:rFonts w:ascii="仿宋" w:hAnsi="仿宋" w:eastAsia="仿宋" w:cs="仿宋"/>
          <w:color w:val="auto"/>
          <w:kern w:val="0"/>
          <w:sz w:val="32"/>
          <w:szCs w:val="32"/>
          <w:u w:val="none"/>
        </w:rPr>
      </w:pPr>
      <w:r>
        <w:rPr>
          <w:rFonts w:hint="eastAsia" w:ascii="仿宋" w:hAnsi="仿宋" w:eastAsia="仿宋" w:cs="仿宋"/>
          <w:color w:val="auto"/>
          <w:kern w:val="0"/>
          <w:sz w:val="32"/>
          <w:szCs w:val="32"/>
          <w:u w:val="none"/>
          <w:lang w:val="en-US" w:eastAsia="zh-CN"/>
        </w:rPr>
        <w:t>学</w:t>
      </w:r>
      <w:r>
        <w:rPr>
          <w:rFonts w:hint="eastAsia" w:ascii="仿宋" w:hAnsi="仿宋" w:eastAsia="仿宋" w:cs="仿宋"/>
          <w:color w:val="auto"/>
          <w:kern w:val="0"/>
          <w:sz w:val="32"/>
          <w:szCs w:val="32"/>
          <w:u w:val="none"/>
        </w:rPr>
        <w:t>校始终坚持将“培育适应萍乡社会经济‘留得住，用得着’的实用型人才”作为人才培养目标，为萍乡经济社会发展</w:t>
      </w:r>
      <w:r>
        <w:rPr>
          <w:rFonts w:hint="eastAsia" w:ascii="仿宋" w:hAnsi="仿宋" w:eastAsia="仿宋" w:cs="仿宋"/>
          <w:color w:val="auto"/>
          <w:kern w:val="0"/>
          <w:sz w:val="32"/>
          <w:szCs w:val="32"/>
          <w:u w:val="none"/>
          <w:lang w:eastAsia="zh-CN"/>
        </w:rPr>
        <w:t>作出</w:t>
      </w:r>
      <w:r>
        <w:rPr>
          <w:rFonts w:hint="eastAsia" w:ascii="仿宋" w:hAnsi="仿宋" w:eastAsia="仿宋" w:cs="仿宋"/>
          <w:color w:val="auto"/>
          <w:kern w:val="0"/>
          <w:sz w:val="32"/>
          <w:szCs w:val="32"/>
          <w:u w:val="none"/>
        </w:rPr>
        <w:t xml:space="preserve">贡献。 </w:t>
      </w:r>
    </w:p>
    <w:p>
      <w:pPr>
        <w:keepNext w:val="0"/>
        <w:keepLines w:val="0"/>
        <w:pageBreakBefore w:val="0"/>
        <w:kinsoku/>
        <w:wordWrap/>
        <w:overflowPunct/>
        <w:topLinePunct w:val="0"/>
        <w:autoSpaceDE/>
        <w:autoSpaceDN/>
        <w:bidi w:val="0"/>
        <w:adjustRightInd w:val="0"/>
        <w:snapToGrid w:val="0"/>
        <w:spacing w:line="500" w:lineRule="exact"/>
        <w:ind w:firstLine="640" w:firstLineChars="200"/>
        <w:jc w:val="both"/>
        <w:outlineLvl w:val="1"/>
        <w:rPr>
          <w:rFonts w:hint="eastAsia" w:ascii="楷体" w:hAnsi="楷体" w:eastAsia="楷体" w:cs="楷体"/>
          <w:b w:val="0"/>
          <w:bCs w:val="0"/>
          <w:color w:val="auto"/>
          <w:sz w:val="32"/>
          <w:szCs w:val="32"/>
          <w:u w:val="none"/>
        </w:rPr>
      </w:pPr>
      <w:r>
        <w:rPr>
          <w:rFonts w:hint="eastAsia" w:ascii="楷体" w:hAnsi="楷体" w:eastAsia="楷体" w:cs="楷体"/>
          <w:b w:val="0"/>
          <w:bCs w:val="0"/>
          <w:color w:val="auto"/>
          <w:sz w:val="32"/>
          <w:szCs w:val="32"/>
          <w:u w:val="none"/>
        </w:rPr>
        <w:t>（一）学历教育整体培养情况</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both"/>
        <w:textAlignment w:val="auto"/>
        <w:outlineLvl w:val="1"/>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2021年度各类在籍（校）生14411人；共培养各类毕业生共3053人。</w:t>
      </w:r>
    </w:p>
    <w:p>
      <w:pPr>
        <w:keepNext w:val="0"/>
        <w:keepLines w:val="0"/>
        <w:pageBreakBefore w:val="0"/>
        <w:widowControl w:val="0"/>
        <w:kinsoku/>
        <w:wordWrap/>
        <w:overflowPunct/>
        <w:topLinePunct w:val="0"/>
        <w:autoSpaceDE/>
        <w:autoSpaceDN/>
        <w:bidi w:val="0"/>
        <w:spacing w:line="500" w:lineRule="exact"/>
        <w:ind w:firstLine="640" w:firstLineChars="200"/>
        <w:jc w:val="both"/>
        <w:textAlignment w:val="auto"/>
        <w:outlineLvl w:val="2"/>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1.</w:t>
      </w:r>
      <w:r>
        <w:rPr>
          <w:rFonts w:hint="eastAsia" w:ascii="仿宋" w:hAnsi="仿宋" w:eastAsia="仿宋" w:cs="仿宋"/>
          <w:color w:val="auto"/>
          <w:sz w:val="32"/>
          <w:szCs w:val="32"/>
          <w:u w:val="none"/>
          <w:lang w:val="en-US" w:eastAsia="zh-CN"/>
        </w:rPr>
        <w:t>开放</w:t>
      </w:r>
      <w:r>
        <w:rPr>
          <w:rFonts w:hint="eastAsia" w:ascii="仿宋" w:hAnsi="仿宋" w:eastAsia="仿宋" w:cs="仿宋"/>
          <w:color w:val="auto"/>
          <w:sz w:val="32"/>
          <w:szCs w:val="32"/>
          <w:u w:val="none"/>
        </w:rPr>
        <w:t>教育</w:t>
      </w:r>
    </w:p>
    <w:p>
      <w:pPr>
        <w:keepNext w:val="0"/>
        <w:keepLines w:val="0"/>
        <w:pageBreakBefore w:val="0"/>
        <w:widowControl w:val="0"/>
        <w:kinsoku/>
        <w:wordWrap/>
        <w:overflowPunct/>
        <w:topLinePunct w:val="0"/>
        <w:autoSpaceDE/>
        <w:autoSpaceDN/>
        <w:bidi w:val="0"/>
        <w:spacing w:line="500" w:lineRule="exact"/>
        <w:ind w:firstLine="640" w:firstLineChars="200"/>
        <w:jc w:val="both"/>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2021年度</w:t>
      </w:r>
      <w:r>
        <w:rPr>
          <w:rFonts w:hint="eastAsia" w:ascii="仿宋" w:hAnsi="仿宋" w:eastAsia="仿宋" w:cs="仿宋"/>
          <w:color w:val="auto"/>
          <w:sz w:val="32"/>
          <w:szCs w:val="32"/>
          <w:u w:val="none"/>
          <w:lang w:val="en-US" w:eastAsia="zh-CN"/>
        </w:rPr>
        <w:t>开放教育</w:t>
      </w:r>
      <w:r>
        <w:rPr>
          <w:rFonts w:hint="eastAsia" w:ascii="仿宋" w:hAnsi="仿宋" w:eastAsia="仿宋" w:cs="仿宋"/>
          <w:color w:val="auto"/>
          <w:sz w:val="32"/>
          <w:szCs w:val="32"/>
          <w:u w:val="none"/>
        </w:rPr>
        <w:t>在籍生13165人。其中，本科2544人，占比19.3</w:t>
      </w:r>
      <w:r>
        <w:rPr>
          <w:rStyle w:val="15"/>
          <w:rFonts w:hint="eastAsia" w:ascii="仿宋" w:hAnsi="仿宋" w:eastAsia="仿宋" w:cs="仿宋"/>
          <w:color w:val="auto"/>
          <w:sz w:val="32"/>
          <w:szCs w:val="32"/>
          <w:u w:val="none"/>
        </w:rPr>
        <w:t>%；</w:t>
      </w:r>
      <w:r>
        <w:rPr>
          <w:rFonts w:hint="eastAsia" w:ascii="仿宋" w:hAnsi="仿宋" w:eastAsia="仿宋" w:cs="仿宋"/>
          <w:color w:val="auto"/>
          <w:sz w:val="32"/>
          <w:szCs w:val="32"/>
          <w:u w:val="none"/>
        </w:rPr>
        <w:t>专科10621人，占比80.7</w:t>
      </w:r>
      <w:r>
        <w:rPr>
          <w:rStyle w:val="15"/>
          <w:rFonts w:hint="eastAsia" w:ascii="仿宋" w:hAnsi="仿宋" w:eastAsia="仿宋" w:cs="仿宋"/>
          <w:color w:val="auto"/>
          <w:sz w:val="32"/>
          <w:szCs w:val="32"/>
          <w:u w:val="none"/>
        </w:rPr>
        <w:t>%</w:t>
      </w:r>
      <w:r>
        <w:rPr>
          <w:rFonts w:hint="eastAsia" w:ascii="仿宋" w:hAnsi="仿宋" w:eastAsia="仿宋" w:cs="仿宋"/>
          <w:color w:val="auto"/>
          <w:sz w:val="32"/>
          <w:szCs w:val="32"/>
          <w:u w:val="none"/>
        </w:rPr>
        <w:t>。2021年度共培养</w:t>
      </w:r>
      <w:r>
        <w:rPr>
          <w:rFonts w:hint="eastAsia" w:ascii="仿宋" w:hAnsi="仿宋" w:eastAsia="仿宋" w:cs="仿宋"/>
          <w:color w:val="auto"/>
          <w:sz w:val="32"/>
          <w:szCs w:val="32"/>
          <w:u w:val="none"/>
          <w:lang w:val="en-US" w:eastAsia="zh-CN"/>
        </w:rPr>
        <w:t>开放</w:t>
      </w:r>
      <w:r>
        <w:rPr>
          <w:rFonts w:hint="eastAsia" w:ascii="仿宋" w:hAnsi="仿宋" w:eastAsia="仿宋" w:cs="仿宋"/>
          <w:color w:val="auto"/>
          <w:sz w:val="32"/>
          <w:szCs w:val="32"/>
          <w:u w:val="none"/>
        </w:rPr>
        <w:t>教育毕业生3053人。其中，本科520人，占比17%；专科2533人，占比83%。</w:t>
      </w:r>
    </w:p>
    <w:p>
      <w:pPr>
        <w:pStyle w:val="2"/>
        <w:keepNext w:val="0"/>
        <w:keepLines w:val="0"/>
        <w:pageBreakBefore w:val="0"/>
        <w:widowControl w:val="0"/>
        <w:kinsoku/>
        <w:wordWrap/>
        <w:overflowPunct/>
        <w:topLinePunct w:val="0"/>
        <w:autoSpaceDE/>
        <w:autoSpaceDN/>
        <w:bidi w:val="0"/>
        <w:spacing w:after="0" w:line="500" w:lineRule="exact"/>
        <w:ind w:firstLine="640" w:firstLineChars="200"/>
        <w:textAlignment w:val="auto"/>
        <w:rPr>
          <w:rFonts w:hint="eastAsia" w:ascii="仿宋" w:hAnsi="仿宋" w:eastAsia="仿宋" w:cs="仿宋"/>
          <w:u w:val="none"/>
          <w:lang w:val="en-US" w:eastAsia="zh-CN"/>
        </w:rPr>
      </w:pPr>
      <w:r>
        <w:rPr>
          <w:rFonts w:hint="eastAsia" w:ascii="仿宋" w:hAnsi="仿宋" w:eastAsia="仿宋" w:cs="仿宋"/>
          <w:color w:val="auto"/>
          <w:sz w:val="32"/>
          <w:szCs w:val="32"/>
          <w:u w:val="none"/>
          <w:lang w:val="en-US" w:eastAsia="zh-CN"/>
        </w:rPr>
        <w:t>2.成人教育</w:t>
      </w:r>
    </w:p>
    <w:p>
      <w:pPr>
        <w:keepNext w:val="0"/>
        <w:keepLines w:val="0"/>
        <w:pageBreakBefore w:val="0"/>
        <w:widowControl w:val="0"/>
        <w:kinsoku/>
        <w:wordWrap/>
        <w:overflowPunct/>
        <w:topLinePunct w:val="0"/>
        <w:autoSpaceDE/>
        <w:autoSpaceDN/>
        <w:bidi w:val="0"/>
        <w:spacing w:line="500" w:lineRule="exact"/>
        <w:ind w:firstLine="640" w:firstLineChars="200"/>
        <w:jc w:val="both"/>
        <w:textAlignment w:val="auto"/>
        <w:outlineLvl w:val="2"/>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未开展。</w:t>
      </w:r>
    </w:p>
    <w:p>
      <w:pPr>
        <w:keepNext w:val="0"/>
        <w:keepLines w:val="0"/>
        <w:pageBreakBefore w:val="0"/>
        <w:widowControl w:val="0"/>
        <w:kinsoku/>
        <w:wordWrap/>
        <w:overflowPunct/>
        <w:topLinePunct w:val="0"/>
        <w:autoSpaceDE/>
        <w:autoSpaceDN/>
        <w:bidi w:val="0"/>
        <w:spacing w:line="500" w:lineRule="exact"/>
        <w:ind w:firstLine="640" w:firstLineChars="200"/>
        <w:jc w:val="both"/>
        <w:textAlignment w:val="auto"/>
        <w:outlineLvl w:val="2"/>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3</w:t>
      </w:r>
      <w:r>
        <w:rPr>
          <w:rFonts w:hint="eastAsia" w:ascii="仿宋" w:hAnsi="仿宋" w:eastAsia="仿宋" w:cs="仿宋"/>
          <w:color w:val="auto"/>
          <w:sz w:val="32"/>
          <w:szCs w:val="32"/>
          <w:u w:val="none"/>
        </w:rPr>
        <w:t>.职业教育（</w:t>
      </w:r>
      <w:r>
        <w:rPr>
          <w:rFonts w:hint="eastAsia" w:ascii="仿宋" w:hAnsi="仿宋" w:eastAsia="仿宋" w:cs="仿宋"/>
          <w:color w:val="auto"/>
          <w:sz w:val="32"/>
          <w:szCs w:val="32"/>
          <w:u w:val="none"/>
          <w:lang w:val="en-US" w:eastAsia="zh-CN"/>
        </w:rPr>
        <w:t>高职</w:t>
      </w:r>
      <w:r>
        <w:rPr>
          <w:rFonts w:hint="eastAsia" w:ascii="仿宋" w:hAnsi="仿宋" w:eastAsia="仿宋" w:cs="仿宋"/>
          <w:color w:val="auto"/>
          <w:sz w:val="32"/>
          <w:szCs w:val="32"/>
          <w:u w:val="none"/>
        </w:rPr>
        <w:t>扩招）</w:t>
      </w:r>
    </w:p>
    <w:p>
      <w:pPr>
        <w:keepNext w:val="0"/>
        <w:keepLines w:val="0"/>
        <w:pageBreakBefore w:val="0"/>
        <w:widowControl w:val="0"/>
        <w:kinsoku/>
        <w:wordWrap/>
        <w:overflowPunct/>
        <w:topLinePunct w:val="0"/>
        <w:autoSpaceDE/>
        <w:autoSpaceDN/>
        <w:bidi w:val="0"/>
        <w:spacing w:line="500" w:lineRule="exact"/>
        <w:ind w:firstLine="640" w:firstLineChars="200"/>
        <w:jc w:val="both"/>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2021年度共有职业教育（</w:t>
      </w:r>
      <w:r>
        <w:rPr>
          <w:rFonts w:hint="eastAsia" w:ascii="仿宋" w:hAnsi="仿宋" w:eastAsia="仿宋" w:cs="仿宋"/>
          <w:color w:val="auto"/>
          <w:sz w:val="32"/>
          <w:szCs w:val="32"/>
          <w:u w:val="none"/>
          <w:lang w:val="en-US" w:eastAsia="zh-CN"/>
        </w:rPr>
        <w:t>高职</w:t>
      </w:r>
      <w:r>
        <w:rPr>
          <w:rFonts w:hint="eastAsia" w:ascii="仿宋" w:hAnsi="仿宋" w:eastAsia="仿宋" w:cs="仿宋"/>
          <w:color w:val="auto"/>
          <w:sz w:val="32"/>
          <w:szCs w:val="32"/>
          <w:u w:val="none"/>
        </w:rPr>
        <w:t>扩招）在校生1246人（含本年度招录人数），同比增加67.9%。</w:t>
      </w:r>
    </w:p>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rPr>
          <w:rFonts w:hint="eastAsia" w:ascii="仿宋" w:hAnsi="仿宋" w:eastAsia="仿宋" w:cs="仿宋"/>
          <w:color w:val="auto"/>
          <w:sz w:val="28"/>
          <w:szCs w:val="28"/>
          <w:u w:val="none"/>
        </w:rPr>
      </w:pPr>
      <w:r>
        <w:rPr>
          <w:rFonts w:hint="eastAsia" w:ascii="仿宋" w:hAnsi="仿宋" w:eastAsia="仿宋" w:cs="仿宋"/>
          <w:color w:val="auto"/>
          <w:kern w:val="0"/>
          <w:sz w:val="28"/>
          <w:szCs w:val="28"/>
          <w:u w:val="none"/>
        </w:rPr>
        <w:t>表2-1</w:t>
      </w:r>
      <w:r>
        <w:rPr>
          <w:rFonts w:hint="eastAsia" w:ascii="仿宋" w:hAnsi="仿宋" w:eastAsia="仿宋" w:cs="仿宋"/>
          <w:color w:val="auto"/>
          <w:sz w:val="28"/>
          <w:szCs w:val="28"/>
          <w:u w:val="none"/>
        </w:rPr>
        <w:t xml:space="preserve"> 2021</w:t>
      </w:r>
      <w:r>
        <w:rPr>
          <w:rFonts w:hint="eastAsia" w:ascii="仿宋" w:hAnsi="仿宋" w:eastAsia="仿宋" w:cs="仿宋"/>
          <w:color w:val="auto"/>
          <w:kern w:val="0"/>
          <w:sz w:val="28"/>
          <w:szCs w:val="28"/>
          <w:u w:val="none"/>
        </w:rPr>
        <w:t>年度学历教育在籍（校）生人数</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4"/>
        <w:gridCol w:w="1450"/>
        <w:gridCol w:w="1921"/>
        <w:gridCol w:w="2042"/>
        <w:gridCol w:w="23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exact"/>
        </w:trPr>
        <w:tc>
          <w:tcPr>
            <w:tcW w:w="70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层次</w:t>
            </w:r>
          </w:p>
        </w:tc>
        <w:tc>
          <w:tcPr>
            <w:tcW w:w="800"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类型</w:t>
            </w:r>
          </w:p>
        </w:tc>
        <w:tc>
          <w:tcPr>
            <w:tcW w:w="1060"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在籍（校）生人数</w:t>
            </w:r>
          </w:p>
        </w:tc>
        <w:tc>
          <w:tcPr>
            <w:tcW w:w="1127"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本年度</w:t>
            </w:r>
          </w:p>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招生人数</w:t>
            </w:r>
          </w:p>
        </w:tc>
        <w:tc>
          <w:tcPr>
            <w:tcW w:w="1308"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本年度</w:t>
            </w:r>
          </w:p>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毕业生人数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本科</w:t>
            </w:r>
          </w:p>
        </w:tc>
        <w:tc>
          <w:tcPr>
            <w:tcW w:w="80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开放本科</w:t>
            </w:r>
          </w:p>
        </w:tc>
        <w:tc>
          <w:tcPr>
            <w:tcW w:w="106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2544</w:t>
            </w:r>
          </w:p>
        </w:tc>
        <w:tc>
          <w:tcPr>
            <w:tcW w:w="112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964</w:t>
            </w:r>
          </w:p>
        </w:tc>
        <w:tc>
          <w:tcPr>
            <w:tcW w:w="1308"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520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3" w:type="pct"/>
            <w:vMerge w:val="restar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专科</w:t>
            </w:r>
          </w:p>
        </w:tc>
        <w:tc>
          <w:tcPr>
            <w:tcW w:w="80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开放专科</w:t>
            </w:r>
          </w:p>
        </w:tc>
        <w:tc>
          <w:tcPr>
            <w:tcW w:w="106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10621</w:t>
            </w:r>
          </w:p>
        </w:tc>
        <w:tc>
          <w:tcPr>
            <w:tcW w:w="112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2820</w:t>
            </w:r>
          </w:p>
        </w:tc>
        <w:tc>
          <w:tcPr>
            <w:tcW w:w="1308"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2533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3" w:type="pct"/>
            <w:vMerge w:val="continue"/>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p>
        </w:tc>
        <w:tc>
          <w:tcPr>
            <w:tcW w:w="80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成人专科</w:t>
            </w:r>
          </w:p>
        </w:tc>
        <w:tc>
          <w:tcPr>
            <w:tcW w:w="106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0</w:t>
            </w:r>
          </w:p>
        </w:tc>
        <w:tc>
          <w:tcPr>
            <w:tcW w:w="112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0</w:t>
            </w:r>
          </w:p>
        </w:tc>
        <w:tc>
          <w:tcPr>
            <w:tcW w:w="1308"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3" w:type="pct"/>
            <w:vMerge w:val="continue"/>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p>
        </w:tc>
        <w:tc>
          <w:tcPr>
            <w:tcW w:w="80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高职扩招</w:t>
            </w:r>
          </w:p>
        </w:tc>
        <w:tc>
          <w:tcPr>
            <w:tcW w:w="106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1246</w:t>
            </w:r>
          </w:p>
        </w:tc>
        <w:tc>
          <w:tcPr>
            <w:tcW w:w="112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504</w:t>
            </w:r>
          </w:p>
        </w:tc>
        <w:tc>
          <w:tcPr>
            <w:tcW w:w="1308"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中专</w:t>
            </w:r>
          </w:p>
        </w:tc>
        <w:tc>
          <w:tcPr>
            <w:tcW w:w="80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成人中专</w:t>
            </w:r>
          </w:p>
        </w:tc>
        <w:tc>
          <w:tcPr>
            <w:tcW w:w="106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0</w:t>
            </w:r>
          </w:p>
        </w:tc>
        <w:tc>
          <w:tcPr>
            <w:tcW w:w="112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0</w:t>
            </w:r>
          </w:p>
        </w:tc>
        <w:tc>
          <w:tcPr>
            <w:tcW w:w="1308"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503" w:type="pct"/>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合计</w:t>
            </w:r>
          </w:p>
        </w:tc>
        <w:tc>
          <w:tcPr>
            <w:tcW w:w="106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14411</w:t>
            </w:r>
          </w:p>
        </w:tc>
        <w:tc>
          <w:tcPr>
            <w:tcW w:w="112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4288</w:t>
            </w:r>
          </w:p>
        </w:tc>
        <w:tc>
          <w:tcPr>
            <w:tcW w:w="1308"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3053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503" w:type="pct"/>
            <w:gridSpan w:val="2"/>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全省排名</w:t>
            </w:r>
          </w:p>
        </w:tc>
        <w:tc>
          <w:tcPr>
            <w:tcW w:w="1060"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4</w:t>
            </w:r>
          </w:p>
        </w:tc>
        <w:tc>
          <w:tcPr>
            <w:tcW w:w="1127"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4</w:t>
            </w:r>
          </w:p>
        </w:tc>
        <w:tc>
          <w:tcPr>
            <w:tcW w:w="1308"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6</w:t>
            </w:r>
          </w:p>
        </w:tc>
      </w:tr>
    </w:tbl>
    <w:p>
      <w:pPr>
        <w:keepNext w:val="0"/>
        <w:keepLines w:val="0"/>
        <w:pageBreakBefore w:val="0"/>
        <w:widowControl w:val="0"/>
        <w:kinsoku/>
        <w:wordWrap/>
        <w:overflowPunct/>
        <w:topLinePunct w:val="0"/>
        <w:autoSpaceDE/>
        <w:autoSpaceDN/>
        <w:bidi w:val="0"/>
        <w:adjustRightInd w:val="0"/>
        <w:snapToGrid w:val="0"/>
        <w:spacing w:line="100" w:lineRule="exact"/>
        <w:ind w:firstLine="643" w:firstLineChars="200"/>
        <w:textAlignment w:val="auto"/>
        <w:outlineLvl w:val="1"/>
        <w:rPr>
          <w:rFonts w:hint="eastAsia" w:ascii="仿宋" w:hAnsi="仿宋" w:eastAsia="仿宋" w:cs="仿宋"/>
          <w:b/>
          <w:bCs/>
          <w:color w:val="auto"/>
          <w:sz w:val="32"/>
          <w:szCs w:val="32"/>
          <w:u w:val="none"/>
        </w:rPr>
      </w:pPr>
    </w:p>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hint="eastAsia" w:ascii="楷体" w:hAnsi="楷体" w:eastAsia="楷体" w:cs="楷体"/>
          <w:b w:val="0"/>
          <w:bCs w:val="0"/>
          <w:color w:val="auto"/>
          <w:sz w:val="32"/>
          <w:szCs w:val="32"/>
          <w:u w:val="none"/>
        </w:rPr>
      </w:pPr>
      <w:r>
        <w:rPr>
          <w:rFonts w:hint="eastAsia" w:ascii="楷体" w:hAnsi="楷体" w:eastAsia="楷体" w:cs="楷体"/>
          <w:b w:val="0"/>
          <w:bCs w:val="0"/>
          <w:color w:val="auto"/>
          <w:sz w:val="32"/>
          <w:szCs w:val="32"/>
          <w:u w:val="none"/>
        </w:rPr>
        <w:t>（二）非学历教育整体培养情况</w:t>
      </w:r>
    </w:p>
    <w:p>
      <w:pPr>
        <w:keepNext w:val="0"/>
        <w:keepLines w:val="0"/>
        <w:pageBreakBefore w:val="0"/>
        <w:kinsoku/>
        <w:wordWrap/>
        <w:overflowPunct/>
        <w:topLinePunct w:val="0"/>
        <w:autoSpaceDE/>
        <w:autoSpaceDN/>
        <w:bidi w:val="0"/>
        <w:spacing w:line="500" w:lineRule="exact"/>
        <w:ind w:firstLine="640" w:firstLineChars="200"/>
        <w:rPr>
          <w:rFonts w:hint="eastAsia" w:ascii="仿宋" w:hAnsi="仿宋" w:eastAsia="仿宋" w:cs="仿宋"/>
          <w:color w:val="auto"/>
          <w:sz w:val="32"/>
          <w:szCs w:val="32"/>
          <w:u w:val="none"/>
        </w:rPr>
      </w:pPr>
      <w:r>
        <w:rPr>
          <w:rFonts w:hint="eastAsia" w:ascii="仿宋" w:hAnsi="仿宋" w:eastAsia="仿宋" w:cs="仿宋"/>
          <w:bCs/>
          <w:color w:val="auto"/>
          <w:sz w:val="32"/>
          <w:szCs w:val="32"/>
          <w:u w:val="none"/>
          <w:lang w:val="en-US" w:eastAsia="zh-CN"/>
        </w:rPr>
        <w:t>学</w:t>
      </w:r>
      <w:r>
        <w:rPr>
          <w:rFonts w:hint="eastAsia" w:ascii="仿宋" w:hAnsi="仿宋" w:eastAsia="仿宋" w:cs="仿宋"/>
          <w:bCs/>
          <w:color w:val="auto"/>
          <w:sz w:val="32"/>
          <w:szCs w:val="32"/>
          <w:u w:val="none"/>
        </w:rPr>
        <w:t>校聚焦聚力国开综合改革方案和整省推进职业教育综合改革试点方案，积极探索多种教育融合发展新模式，充分把握和利用好各项国家政策，</w:t>
      </w:r>
      <w:r>
        <w:rPr>
          <w:rFonts w:hint="eastAsia" w:ascii="仿宋" w:hAnsi="仿宋" w:eastAsia="仿宋" w:cs="仿宋"/>
          <w:color w:val="auto"/>
          <w:sz w:val="32"/>
          <w:szCs w:val="32"/>
          <w:u w:val="none"/>
        </w:rPr>
        <w:t>利用市教育局党校、龚全珍师德教育学院、社区教育指导中心、继续教育处等平台，大力发展党员教育、师德师风教育、社区教育等，学</w:t>
      </w:r>
      <w:r>
        <w:rPr>
          <w:rFonts w:hint="eastAsia" w:ascii="仿宋" w:hAnsi="仿宋" w:eastAsia="仿宋" w:cs="仿宋"/>
          <w:bCs/>
          <w:color w:val="auto"/>
          <w:sz w:val="32"/>
          <w:szCs w:val="32"/>
          <w:u w:val="none"/>
        </w:rPr>
        <w:t>校的转型发展初见成效并取得了可喜的成绩。</w:t>
      </w:r>
      <w:r>
        <w:rPr>
          <w:rFonts w:hint="eastAsia" w:ascii="仿宋" w:hAnsi="仿宋" w:eastAsia="仿宋" w:cs="仿宋"/>
          <w:b/>
          <w:color w:val="auto"/>
          <w:sz w:val="32"/>
          <w:szCs w:val="32"/>
          <w:u w:val="none"/>
        </w:rPr>
        <w:t>一是擦亮了龚</w:t>
      </w:r>
      <w:r>
        <w:rPr>
          <w:rFonts w:hint="eastAsia" w:ascii="仿宋" w:hAnsi="仿宋" w:eastAsia="仿宋" w:cs="仿宋"/>
          <w:b/>
          <w:bCs/>
          <w:color w:val="auto"/>
          <w:sz w:val="32"/>
          <w:szCs w:val="32"/>
          <w:u w:val="none"/>
        </w:rPr>
        <w:t>全珍师德教育学院品牌。</w:t>
      </w:r>
      <w:r>
        <w:rPr>
          <w:rFonts w:hint="eastAsia" w:ascii="仿宋" w:hAnsi="仿宋" w:eastAsia="仿宋" w:cs="仿宋"/>
          <w:color w:val="auto"/>
          <w:kern w:val="0"/>
          <w:sz w:val="32"/>
          <w:szCs w:val="32"/>
          <w:u w:val="none"/>
        </w:rPr>
        <w:t>龚全珍师德学院成立以来，已先后出版发行了师德师风教育读本《师德楷模</w:t>
      </w:r>
      <w:r>
        <w:rPr>
          <w:rFonts w:hint="eastAsia" w:ascii="仿宋" w:hAnsi="仿宋" w:eastAsia="仿宋" w:cs="仿宋"/>
          <w:color w:val="auto"/>
          <w:kern w:val="0"/>
          <w:sz w:val="32"/>
          <w:szCs w:val="32"/>
          <w:u w:val="none"/>
          <w:lang w:eastAsia="zh-CN"/>
        </w:rPr>
        <w:t>－</w:t>
      </w:r>
      <w:r>
        <w:rPr>
          <w:rFonts w:hint="eastAsia" w:ascii="仿宋" w:hAnsi="仿宋" w:eastAsia="仿宋" w:cs="仿宋"/>
          <w:color w:val="auto"/>
          <w:kern w:val="0"/>
          <w:sz w:val="32"/>
          <w:szCs w:val="32"/>
          <w:u w:val="none"/>
        </w:rPr>
        <w:t>龚全珍》和面向少年儿童的红色教育读本</w:t>
      </w:r>
      <w:r>
        <w:rPr>
          <w:rFonts w:hint="eastAsia" w:ascii="仿宋" w:hAnsi="仿宋" w:eastAsia="仿宋" w:cs="仿宋"/>
          <w:color w:val="auto"/>
          <w:sz w:val="32"/>
          <w:szCs w:val="32"/>
          <w:u w:val="none"/>
        </w:rPr>
        <w:t>《老阿姨为我系上红领巾》，</w:t>
      </w:r>
      <w:r>
        <w:rPr>
          <w:rFonts w:hint="eastAsia" w:ascii="仿宋" w:hAnsi="仿宋" w:eastAsia="仿宋" w:cs="仿宋"/>
          <w:color w:val="auto"/>
          <w:kern w:val="0"/>
          <w:sz w:val="32"/>
          <w:szCs w:val="32"/>
          <w:u w:val="none"/>
        </w:rPr>
        <w:t>已形成六大课程体系，建立了六个课程基地。</w:t>
      </w:r>
      <w:r>
        <w:rPr>
          <w:rFonts w:hint="eastAsia" w:ascii="仿宋" w:hAnsi="仿宋" w:eastAsia="仿宋" w:cs="仿宋"/>
          <w:bCs/>
          <w:color w:val="auto"/>
          <w:sz w:val="32"/>
          <w:szCs w:val="32"/>
          <w:u w:val="none"/>
        </w:rPr>
        <w:t>2021年各类培训人次共计945人，完成制作了《全国师德模范访谈》等访谈课程，形成了红色安源系列讲解稿，同时开发并成熟《学党史学楷模，</w:t>
      </w:r>
      <w:r>
        <w:rPr>
          <w:rFonts w:hint="eastAsia" w:ascii="仿宋" w:hAnsi="仿宋" w:eastAsia="仿宋" w:cs="仿宋"/>
          <w:bCs/>
          <w:color w:val="auto"/>
          <w:sz w:val="32"/>
          <w:szCs w:val="32"/>
          <w:u w:val="none"/>
          <w:lang w:eastAsia="zh-CN"/>
        </w:rPr>
        <w:t>赓续</w:t>
      </w:r>
      <w:r>
        <w:rPr>
          <w:rFonts w:hint="eastAsia" w:ascii="仿宋" w:hAnsi="仿宋" w:eastAsia="仿宋" w:cs="仿宋"/>
          <w:bCs/>
          <w:color w:val="auto"/>
          <w:sz w:val="32"/>
          <w:szCs w:val="32"/>
          <w:u w:val="none"/>
        </w:rPr>
        <w:t>精神履行使命》等宣讲课程，制作了《师德楷模——龚全珍》思政课程。</w:t>
      </w:r>
      <w:r>
        <w:rPr>
          <w:rFonts w:hint="eastAsia" w:ascii="仿宋" w:hAnsi="仿宋" w:eastAsia="仿宋" w:cs="仿宋"/>
          <w:color w:val="auto"/>
          <w:kern w:val="0"/>
          <w:sz w:val="32"/>
          <w:szCs w:val="32"/>
          <w:u w:val="none"/>
        </w:rPr>
        <w:t>学院工作</w:t>
      </w:r>
      <w:r>
        <w:rPr>
          <w:rFonts w:hint="eastAsia" w:ascii="仿宋" w:hAnsi="仿宋" w:eastAsia="仿宋" w:cs="仿宋"/>
          <w:color w:val="auto"/>
          <w:sz w:val="32"/>
          <w:szCs w:val="32"/>
          <w:u w:val="none"/>
        </w:rPr>
        <w:t>得到了教育部、省教育厅、国家开放大学的高度评价，</w:t>
      </w:r>
      <w:r>
        <w:rPr>
          <w:rFonts w:hint="eastAsia" w:ascii="仿宋" w:hAnsi="仿宋" w:eastAsia="仿宋" w:cs="仿宋"/>
          <w:color w:val="auto"/>
          <w:kern w:val="0"/>
          <w:sz w:val="32"/>
          <w:szCs w:val="32"/>
          <w:u w:val="none"/>
        </w:rPr>
        <w:t>教育部教师工作司副司长宋磊在国开调研时也强调，要进一步加大“龚全珍师德师风学院”等特色培训基地建设。</w:t>
      </w:r>
      <w:r>
        <w:rPr>
          <w:rFonts w:hint="eastAsia" w:ascii="仿宋" w:hAnsi="仿宋" w:eastAsia="仿宋" w:cs="仿宋"/>
          <w:b/>
          <w:bCs/>
          <w:color w:val="auto"/>
          <w:kern w:val="0"/>
          <w:sz w:val="32"/>
          <w:szCs w:val="32"/>
          <w:u w:val="none"/>
        </w:rPr>
        <w:t>二是拓宽了</w:t>
      </w:r>
      <w:r>
        <w:rPr>
          <w:rFonts w:hint="eastAsia" w:ascii="仿宋" w:hAnsi="仿宋" w:eastAsia="仿宋" w:cs="仿宋"/>
          <w:b/>
          <w:bCs/>
          <w:color w:val="auto"/>
          <w:sz w:val="32"/>
          <w:szCs w:val="32"/>
          <w:u w:val="none"/>
        </w:rPr>
        <w:t>社区教育新局面。</w:t>
      </w:r>
      <w:r>
        <w:rPr>
          <w:rFonts w:hint="eastAsia" w:ascii="仿宋" w:hAnsi="仿宋" w:eastAsia="仿宋" w:cs="仿宋"/>
          <w:bCs/>
          <w:color w:val="auto"/>
          <w:sz w:val="32"/>
          <w:szCs w:val="32"/>
          <w:u w:val="none"/>
        </w:rPr>
        <w:t>圆满完成2021年</w:t>
      </w:r>
      <w:r>
        <w:rPr>
          <w:rFonts w:hint="eastAsia" w:ascii="仿宋" w:hAnsi="仿宋" w:eastAsia="仿宋" w:cs="仿宋"/>
          <w:bCs/>
          <w:color w:val="auto"/>
          <w:kern w:val="0"/>
          <w:sz w:val="32"/>
          <w:szCs w:val="32"/>
          <w:u w:val="none"/>
          <w:lang w:bidi="ar"/>
        </w:rPr>
        <w:t>江西省全民终身学习活动周总开幕式活动，并</w:t>
      </w:r>
      <w:r>
        <w:rPr>
          <w:rFonts w:hint="eastAsia" w:ascii="仿宋" w:hAnsi="仿宋" w:eastAsia="仿宋" w:cs="仿宋"/>
          <w:bCs/>
          <w:color w:val="auto"/>
          <w:sz w:val="32"/>
          <w:szCs w:val="32"/>
          <w:u w:val="none"/>
        </w:rPr>
        <w:t>建立了教育系统社区教育联络员制度。开展了“鳌洲大讲堂”进社</w:t>
      </w:r>
      <w:r>
        <w:rPr>
          <w:rFonts w:hint="eastAsia" w:ascii="仿宋" w:hAnsi="仿宋" w:eastAsia="仿宋" w:cs="仿宋"/>
          <w:color w:val="auto"/>
          <w:sz w:val="32"/>
          <w:szCs w:val="32"/>
          <w:u w:val="none"/>
        </w:rPr>
        <w:t>区、进机关、进乡村活动5次，开展了书法培训班、声乐培训、老年人运用智能技术、机器人编程等各类免费社区培训，</w:t>
      </w:r>
      <w:r>
        <w:rPr>
          <w:rFonts w:hint="eastAsia" w:ascii="仿宋" w:hAnsi="仿宋" w:eastAsia="仿宋" w:cs="仿宋"/>
          <w:bCs/>
          <w:color w:val="auto"/>
          <w:sz w:val="32"/>
          <w:szCs w:val="32"/>
          <w:u w:val="none"/>
        </w:rPr>
        <w:t>并建立了5个“乡村社区教育创新实践基地”，致力于乡村文化振兴</w:t>
      </w:r>
      <w:r>
        <w:rPr>
          <w:rFonts w:hint="eastAsia" w:ascii="仿宋" w:hAnsi="仿宋" w:eastAsia="仿宋" w:cs="仿宋"/>
          <w:color w:val="auto"/>
          <w:sz w:val="32"/>
          <w:szCs w:val="32"/>
          <w:u w:val="none"/>
        </w:rPr>
        <w:t>。</w:t>
      </w:r>
      <w:r>
        <w:rPr>
          <w:rFonts w:hint="eastAsia" w:ascii="仿宋" w:hAnsi="仿宋" w:eastAsia="仿宋" w:cs="仿宋"/>
          <w:bCs/>
          <w:color w:val="auto"/>
          <w:sz w:val="32"/>
          <w:szCs w:val="32"/>
          <w:u w:val="none"/>
        </w:rPr>
        <w:t>充分发挥青少年科技教育协会和教工旅行社作用，积极组织学生参加江西省青少年科技创新大赛，获萍乡市青少年教育科技协会先进集体和江西省青少年科技创新大赛优秀组织单位。教工旅行社</w:t>
      </w:r>
      <w:r>
        <w:rPr>
          <w:rFonts w:hint="eastAsia" w:ascii="仿宋" w:hAnsi="仿宋" w:eastAsia="仿宋" w:cs="仿宋"/>
          <w:color w:val="auto"/>
          <w:kern w:val="0"/>
          <w:sz w:val="32"/>
          <w:szCs w:val="32"/>
          <w:u w:val="none"/>
        </w:rPr>
        <w:t>组织研学团队</w:t>
      </w:r>
      <w:r>
        <w:rPr>
          <w:rFonts w:hint="eastAsia" w:ascii="仿宋" w:hAnsi="仿宋" w:eastAsia="仿宋" w:cs="仿宋"/>
          <w:color w:val="auto"/>
          <w:kern w:val="0"/>
          <w:sz w:val="32"/>
          <w:szCs w:val="32"/>
          <w:u w:val="none"/>
          <w:lang w:val="en-US" w:eastAsia="zh-CN"/>
        </w:rPr>
        <w:t>20</w:t>
      </w:r>
      <w:r>
        <w:rPr>
          <w:rFonts w:hint="eastAsia" w:ascii="仿宋" w:hAnsi="仿宋" w:eastAsia="仿宋" w:cs="仿宋"/>
          <w:color w:val="auto"/>
          <w:kern w:val="0"/>
          <w:sz w:val="32"/>
          <w:szCs w:val="32"/>
          <w:u w:val="none"/>
        </w:rPr>
        <w:t>次，学生人数</w:t>
      </w:r>
      <w:r>
        <w:rPr>
          <w:rFonts w:hint="eastAsia" w:ascii="仿宋" w:hAnsi="仿宋" w:eastAsia="仿宋" w:cs="仿宋"/>
          <w:color w:val="auto"/>
          <w:kern w:val="0"/>
          <w:sz w:val="32"/>
          <w:szCs w:val="32"/>
          <w:u w:val="none"/>
          <w:lang w:val="en-US" w:eastAsia="zh-CN"/>
        </w:rPr>
        <w:t>10921</w:t>
      </w:r>
      <w:r>
        <w:rPr>
          <w:rFonts w:hint="eastAsia" w:ascii="仿宋" w:hAnsi="仿宋" w:eastAsia="仿宋" w:cs="仿宋"/>
          <w:color w:val="auto"/>
          <w:kern w:val="0"/>
          <w:sz w:val="32"/>
          <w:szCs w:val="32"/>
          <w:u w:val="none"/>
        </w:rPr>
        <w:t>人，</w:t>
      </w:r>
      <w:r>
        <w:rPr>
          <w:rFonts w:hint="eastAsia" w:ascii="仿宋" w:hAnsi="仿宋" w:eastAsia="仿宋" w:cs="仿宋"/>
          <w:bCs/>
          <w:color w:val="auto"/>
          <w:kern w:val="0"/>
          <w:sz w:val="32"/>
          <w:szCs w:val="32"/>
          <w:u w:val="none"/>
        </w:rPr>
        <w:t>开发了传统皮影戏（非物质文化遗产）等特色研学课程，树立了新的萍乡教工旅行社品牌。</w:t>
      </w:r>
      <w:r>
        <w:rPr>
          <w:rFonts w:hint="eastAsia" w:ascii="仿宋" w:hAnsi="仿宋" w:eastAsia="仿宋" w:cs="仿宋"/>
          <w:b/>
          <w:bCs/>
          <w:color w:val="auto"/>
          <w:sz w:val="32"/>
          <w:szCs w:val="32"/>
          <w:u w:val="none"/>
        </w:rPr>
        <w:t>三是展现了职业技能培训新成效。</w:t>
      </w:r>
      <w:r>
        <w:rPr>
          <w:rFonts w:hint="eastAsia" w:ascii="仿宋" w:hAnsi="仿宋" w:eastAsia="仿宋" w:cs="仿宋"/>
          <w:color w:val="auto"/>
          <w:sz w:val="32"/>
          <w:szCs w:val="32"/>
          <w:u w:val="none"/>
        </w:rPr>
        <w:t>积极开展高素质农民、保育员等各类免费职业技能培训，并深入萍乡新型农业企业进行调研，建立了4个“高素质农民实训基地”，为</w:t>
      </w:r>
      <w:r>
        <w:rPr>
          <w:rFonts w:hint="eastAsia" w:ascii="仿宋" w:hAnsi="仿宋" w:eastAsia="仿宋" w:cs="仿宋"/>
          <w:color w:val="auto"/>
          <w:sz w:val="32"/>
          <w:szCs w:val="32"/>
          <w:u w:val="none"/>
          <w:lang w:val="en-US" w:eastAsia="zh-CN"/>
        </w:rPr>
        <w:t>学校</w:t>
      </w:r>
      <w:r>
        <w:rPr>
          <w:rFonts w:hint="eastAsia" w:ascii="仿宋" w:hAnsi="仿宋" w:eastAsia="仿宋" w:cs="仿宋"/>
          <w:bCs/>
          <w:color w:val="auto"/>
          <w:sz w:val="32"/>
          <w:szCs w:val="32"/>
          <w:u w:val="none"/>
        </w:rPr>
        <w:t>“服务三农、服务乡村振兴”打下坚实基础，也</w:t>
      </w:r>
      <w:r>
        <w:rPr>
          <w:rFonts w:hint="eastAsia" w:ascii="仿宋" w:hAnsi="仿宋" w:eastAsia="仿宋" w:cs="仿宋"/>
          <w:color w:val="auto"/>
          <w:sz w:val="32"/>
          <w:szCs w:val="32"/>
          <w:u w:val="none"/>
        </w:rPr>
        <w:t>为萍乡市农业企业职工技术技能提升提供强大支撑。</w:t>
      </w:r>
    </w:p>
    <w:p>
      <w:pPr>
        <w:keepNext w:val="0"/>
        <w:keepLines w:val="0"/>
        <w:pageBreakBefore w:val="0"/>
        <w:widowControl/>
        <w:kinsoku/>
        <w:wordWrap/>
        <w:overflowPunct/>
        <w:topLinePunct w:val="0"/>
        <w:autoSpaceDE/>
        <w:autoSpaceDN/>
        <w:bidi w:val="0"/>
        <w:spacing w:line="500" w:lineRule="exact"/>
        <w:ind w:firstLine="640" w:firstLineChars="200"/>
        <w:rPr>
          <w:rFonts w:hint="eastAsia" w:ascii="仿宋" w:hAnsi="仿宋" w:eastAsia="仿宋" w:cs="仿宋"/>
          <w:color w:val="auto"/>
          <w:kern w:val="0"/>
          <w:sz w:val="32"/>
          <w:szCs w:val="32"/>
          <w:u w:val="none"/>
        </w:rPr>
      </w:pPr>
      <w:r>
        <w:rPr>
          <w:rFonts w:hint="eastAsia" w:ascii="仿宋" w:hAnsi="仿宋" w:eastAsia="仿宋" w:cs="仿宋"/>
          <w:color w:val="auto"/>
          <w:sz w:val="32"/>
          <w:szCs w:val="32"/>
          <w:u w:val="none"/>
        </w:rPr>
        <w:t>2021年度非学历继续教育项目11个，开设培训</w:t>
      </w:r>
      <w:r>
        <w:rPr>
          <w:rFonts w:hint="eastAsia" w:ascii="仿宋" w:hAnsi="仿宋" w:eastAsia="仿宋" w:cs="仿宋"/>
          <w:color w:val="auto"/>
          <w:sz w:val="32"/>
          <w:szCs w:val="32"/>
          <w:u w:val="none"/>
          <w:lang w:val="en-US" w:eastAsia="zh-CN"/>
        </w:rPr>
        <w:t>班</w:t>
      </w:r>
      <w:r>
        <w:rPr>
          <w:rFonts w:hint="eastAsia" w:ascii="仿宋" w:hAnsi="仿宋" w:eastAsia="仿宋" w:cs="仿宋"/>
          <w:color w:val="auto"/>
          <w:sz w:val="32"/>
          <w:szCs w:val="32"/>
          <w:u w:val="none"/>
        </w:rPr>
        <w:t>69个班次，培训规模14031人次，</w:t>
      </w:r>
      <w:r>
        <w:rPr>
          <w:rFonts w:hint="eastAsia" w:ascii="仿宋" w:hAnsi="仿宋" w:eastAsia="仿宋" w:cs="仿宋"/>
          <w:color w:val="auto"/>
          <w:kern w:val="0"/>
          <w:sz w:val="32"/>
          <w:szCs w:val="32"/>
          <w:u w:val="none"/>
          <w:lang w:bidi="ar"/>
        </w:rPr>
        <w:t>同比增长</w:t>
      </w:r>
      <w:r>
        <w:rPr>
          <w:rFonts w:hint="eastAsia" w:ascii="仿宋" w:hAnsi="仿宋" w:eastAsia="仿宋" w:cs="仿宋"/>
          <w:color w:val="auto"/>
          <w:sz w:val="32"/>
          <w:szCs w:val="32"/>
          <w:u w:val="none"/>
        </w:rPr>
        <w:t>212.9%。</w:t>
      </w:r>
    </w:p>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表2-2</w:t>
      </w:r>
      <w:r>
        <w:rPr>
          <w:rFonts w:hint="eastAsia" w:ascii="仿宋" w:hAnsi="仿宋" w:eastAsia="仿宋" w:cs="仿宋"/>
          <w:color w:val="auto"/>
          <w:sz w:val="28"/>
          <w:szCs w:val="28"/>
          <w:u w:val="none"/>
        </w:rPr>
        <w:t xml:space="preserve"> 2021</w:t>
      </w:r>
      <w:r>
        <w:rPr>
          <w:rFonts w:hint="eastAsia" w:ascii="仿宋" w:hAnsi="仿宋" w:eastAsia="仿宋" w:cs="仿宋"/>
          <w:color w:val="auto"/>
          <w:kern w:val="0"/>
          <w:sz w:val="28"/>
          <w:szCs w:val="28"/>
          <w:u w:val="none"/>
        </w:rPr>
        <w:t>年度非学历教育情况</w:t>
      </w:r>
    </w:p>
    <w:tbl>
      <w:tblPr>
        <w:tblStyle w:val="10"/>
        <w:tblW w:w="4997" w:type="pct"/>
        <w:jc w:val="center"/>
        <w:tblLayout w:type="autofit"/>
        <w:tblCellMar>
          <w:top w:w="0" w:type="dxa"/>
          <w:left w:w="108" w:type="dxa"/>
          <w:bottom w:w="0" w:type="dxa"/>
          <w:right w:w="108" w:type="dxa"/>
        </w:tblCellMar>
      </w:tblPr>
      <w:tblGrid>
        <w:gridCol w:w="785"/>
        <w:gridCol w:w="1917"/>
        <w:gridCol w:w="4498"/>
        <w:gridCol w:w="678"/>
        <w:gridCol w:w="1178"/>
      </w:tblGrid>
      <w:tr>
        <w:tblPrEx>
          <w:tblCellMar>
            <w:top w:w="0" w:type="dxa"/>
            <w:left w:w="108" w:type="dxa"/>
            <w:bottom w:w="0" w:type="dxa"/>
            <w:right w:w="108" w:type="dxa"/>
          </w:tblCellMar>
        </w:tblPrEx>
        <w:trPr>
          <w:trHeight w:val="340" w:hRule="atLeast"/>
          <w:jc w:val="center"/>
        </w:trPr>
        <w:tc>
          <w:tcPr>
            <w:tcW w:w="434" w:type="pc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序号</w:t>
            </w:r>
          </w:p>
        </w:tc>
        <w:tc>
          <w:tcPr>
            <w:tcW w:w="1058"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行业</w:t>
            </w:r>
          </w:p>
        </w:tc>
        <w:tc>
          <w:tcPr>
            <w:tcW w:w="2481"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培训对象</w:t>
            </w:r>
          </w:p>
        </w:tc>
        <w:tc>
          <w:tcPr>
            <w:tcW w:w="374"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班次</w:t>
            </w:r>
          </w:p>
        </w:tc>
        <w:tc>
          <w:tcPr>
            <w:tcW w:w="650"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人次</w:t>
            </w:r>
          </w:p>
        </w:tc>
      </w:tr>
      <w:tr>
        <w:tblPrEx>
          <w:tblCellMar>
            <w:top w:w="0" w:type="dxa"/>
            <w:left w:w="108" w:type="dxa"/>
            <w:bottom w:w="0" w:type="dxa"/>
            <w:right w:w="108" w:type="dxa"/>
          </w:tblCellMar>
        </w:tblPrEx>
        <w:trPr>
          <w:trHeight w:val="340" w:hRule="atLeast"/>
          <w:jc w:val="center"/>
        </w:trPr>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1</w:t>
            </w:r>
          </w:p>
        </w:tc>
        <w:tc>
          <w:tcPr>
            <w:tcW w:w="105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高素质农民</w:t>
            </w:r>
          </w:p>
        </w:tc>
        <w:tc>
          <w:tcPr>
            <w:tcW w:w="248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高素质农民</w:t>
            </w:r>
          </w:p>
        </w:tc>
        <w:tc>
          <w:tcPr>
            <w:tcW w:w="37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6</w:t>
            </w:r>
          </w:p>
        </w:tc>
        <w:tc>
          <w:tcPr>
            <w:tcW w:w="6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400</w:t>
            </w:r>
          </w:p>
        </w:tc>
      </w:tr>
      <w:tr>
        <w:tblPrEx>
          <w:tblCellMar>
            <w:top w:w="0" w:type="dxa"/>
            <w:left w:w="108" w:type="dxa"/>
            <w:bottom w:w="0" w:type="dxa"/>
            <w:right w:w="108" w:type="dxa"/>
          </w:tblCellMar>
        </w:tblPrEx>
        <w:trPr>
          <w:trHeight w:val="340" w:hRule="atLeast"/>
          <w:jc w:val="center"/>
        </w:trPr>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2</w:t>
            </w:r>
          </w:p>
        </w:tc>
        <w:tc>
          <w:tcPr>
            <w:tcW w:w="105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保育员</w:t>
            </w:r>
          </w:p>
        </w:tc>
        <w:tc>
          <w:tcPr>
            <w:tcW w:w="248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农村转移就业劳动者、城镇登记失业人员</w:t>
            </w:r>
          </w:p>
        </w:tc>
        <w:tc>
          <w:tcPr>
            <w:tcW w:w="37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18</w:t>
            </w:r>
          </w:p>
        </w:tc>
        <w:tc>
          <w:tcPr>
            <w:tcW w:w="6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796</w:t>
            </w:r>
          </w:p>
        </w:tc>
      </w:tr>
      <w:tr>
        <w:tblPrEx>
          <w:tblCellMar>
            <w:top w:w="0" w:type="dxa"/>
            <w:left w:w="108" w:type="dxa"/>
            <w:bottom w:w="0" w:type="dxa"/>
            <w:right w:w="108" w:type="dxa"/>
          </w:tblCellMar>
        </w:tblPrEx>
        <w:trPr>
          <w:trHeight w:val="340" w:hRule="atLeast"/>
          <w:jc w:val="center"/>
        </w:trPr>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3</w:t>
            </w:r>
          </w:p>
        </w:tc>
        <w:tc>
          <w:tcPr>
            <w:tcW w:w="105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育婴员</w:t>
            </w:r>
          </w:p>
        </w:tc>
        <w:tc>
          <w:tcPr>
            <w:tcW w:w="248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农村转移就业劳动者、城镇登记失业人员</w:t>
            </w:r>
          </w:p>
        </w:tc>
        <w:tc>
          <w:tcPr>
            <w:tcW w:w="37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3</w:t>
            </w:r>
          </w:p>
        </w:tc>
        <w:tc>
          <w:tcPr>
            <w:tcW w:w="6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113</w:t>
            </w:r>
          </w:p>
        </w:tc>
      </w:tr>
      <w:tr>
        <w:tblPrEx>
          <w:tblCellMar>
            <w:top w:w="0" w:type="dxa"/>
            <w:left w:w="108" w:type="dxa"/>
            <w:bottom w:w="0" w:type="dxa"/>
            <w:right w:w="108" w:type="dxa"/>
          </w:tblCellMar>
        </w:tblPrEx>
        <w:trPr>
          <w:trHeight w:val="340" w:hRule="atLeast"/>
          <w:jc w:val="center"/>
        </w:trPr>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4</w:t>
            </w:r>
          </w:p>
        </w:tc>
        <w:tc>
          <w:tcPr>
            <w:tcW w:w="105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养老护理员</w:t>
            </w:r>
          </w:p>
        </w:tc>
        <w:tc>
          <w:tcPr>
            <w:tcW w:w="248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农村转移就业劳动者、城镇登记失业人员</w:t>
            </w:r>
          </w:p>
        </w:tc>
        <w:tc>
          <w:tcPr>
            <w:tcW w:w="37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1</w:t>
            </w:r>
          </w:p>
        </w:tc>
        <w:tc>
          <w:tcPr>
            <w:tcW w:w="6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25</w:t>
            </w:r>
          </w:p>
        </w:tc>
      </w:tr>
      <w:tr>
        <w:tblPrEx>
          <w:tblCellMar>
            <w:top w:w="0" w:type="dxa"/>
            <w:left w:w="108" w:type="dxa"/>
            <w:bottom w:w="0" w:type="dxa"/>
            <w:right w:w="108" w:type="dxa"/>
          </w:tblCellMar>
        </w:tblPrEx>
        <w:trPr>
          <w:trHeight w:val="340" w:hRule="atLeast"/>
          <w:jc w:val="center"/>
        </w:trPr>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5</w:t>
            </w:r>
          </w:p>
        </w:tc>
        <w:tc>
          <w:tcPr>
            <w:tcW w:w="105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打字员</w:t>
            </w:r>
          </w:p>
        </w:tc>
        <w:tc>
          <w:tcPr>
            <w:tcW w:w="248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农村转移就业劳动者、城镇登记失业人员</w:t>
            </w:r>
          </w:p>
        </w:tc>
        <w:tc>
          <w:tcPr>
            <w:tcW w:w="37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1</w:t>
            </w:r>
          </w:p>
        </w:tc>
        <w:tc>
          <w:tcPr>
            <w:tcW w:w="6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54</w:t>
            </w:r>
          </w:p>
        </w:tc>
      </w:tr>
      <w:tr>
        <w:tblPrEx>
          <w:tblCellMar>
            <w:top w:w="0" w:type="dxa"/>
            <w:left w:w="108" w:type="dxa"/>
            <w:bottom w:w="0" w:type="dxa"/>
            <w:right w:w="108" w:type="dxa"/>
          </w:tblCellMar>
        </w:tblPrEx>
        <w:trPr>
          <w:trHeight w:val="340" w:hRule="atLeast"/>
          <w:jc w:val="center"/>
        </w:trPr>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6</w:t>
            </w:r>
          </w:p>
        </w:tc>
        <w:tc>
          <w:tcPr>
            <w:tcW w:w="105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教师培训</w:t>
            </w:r>
          </w:p>
        </w:tc>
        <w:tc>
          <w:tcPr>
            <w:tcW w:w="248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教师</w:t>
            </w:r>
          </w:p>
        </w:tc>
        <w:tc>
          <w:tcPr>
            <w:tcW w:w="37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11</w:t>
            </w:r>
          </w:p>
        </w:tc>
        <w:tc>
          <w:tcPr>
            <w:tcW w:w="6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945</w:t>
            </w:r>
          </w:p>
        </w:tc>
      </w:tr>
      <w:tr>
        <w:tblPrEx>
          <w:tblCellMar>
            <w:top w:w="0" w:type="dxa"/>
            <w:left w:w="108" w:type="dxa"/>
            <w:bottom w:w="0" w:type="dxa"/>
            <w:right w:w="108" w:type="dxa"/>
          </w:tblCellMar>
        </w:tblPrEx>
        <w:trPr>
          <w:trHeight w:val="340" w:hRule="atLeast"/>
          <w:jc w:val="center"/>
        </w:trPr>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7</w:t>
            </w:r>
          </w:p>
        </w:tc>
        <w:tc>
          <w:tcPr>
            <w:tcW w:w="105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普通话</w:t>
            </w:r>
          </w:p>
        </w:tc>
        <w:tc>
          <w:tcPr>
            <w:tcW w:w="248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在校学生及社会考生</w:t>
            </w:r>
          </w:p>
        </w:tc>
        <w:tc>
          <w:tcPr>
            <w:tcW w:w="37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2</w:t>
            </w:r>
          </w:p>
        </w:tc>
        <w:tc>
          <w:tcPr>
            <w:tcW w:w="6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236</w:t>
            </w:r>
          </w:p>
        </w:tc>
      </w:tr>
      <w:tr>
        <w:tblPrEx>
          <w:tblCellMar>
            <w:top w:w="0" w:type="dxa"/>
            <w:left w:w="108" w:type="dxa"/>
            <w:bottom w:w="0" w:type="dxa"/>
            <w:right w:w="108" w:type="dxa"/>
          </w:tblCellMar>
        </w:tblPrEx>
        <w:trPr>
          <w:trHeight w:val="340" w:hRule="atLeast"/>
          <w:jc w:val="center"/>
        </w:trPr>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8</w:t>
            </w:r>
          </w:p>
        </w:tc>
        <w:tc>
          <w:tcPr>
            <w:tcW w:w="105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sz w:val="28"/>
                <w:szCs w:val="28"/>
                <w:u w:val="none"/>
              </w:rPr>
              <w:t>声乐培训</w:t>
            </w:r>
          </w:p>
        </w:tc>
        <w:tc>
          <w:tcPr>
            <w:tcW w:w="248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社区居民</w:t>
            </w:r>
          </w:p>
        </w:tc>
        <w:tc>
          <w:tcPr>
            <w:tcW w:w="37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1</w:t>
            </w:r>
          </w:p>
        </w:tc>
        <w:tc>
          <w:tcPr>
            <w:tcW w:w="6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51</w:t>
            </w:r>
          </w:p>
        </w:tc>
      </w:tr>
      <w:tr>
        <w:tblPrEx>
          <w:tblCellMar>
            <w:top w:w="0" w:type="dxa"/>
            <w:left w:w="108" w:type="dxa"/>
            <w:bottom w:w="0" w:type="dxa"/>
            <w:right w:w="108" w:type="dxa"/>
          </w:tblCellMar>
        </w:tblPrEx>
        <w:trPr>
          <w:trHeight w:val="340" w:hRule="atLeast"/>
          <w:jc w:val="center"/>
        </w:trPr>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9</w:t>
            </w:r>
          </w:p>
        </w:tc>
        <w:tc>
          <w:tcPr>
            <w:tcW w:w="105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党史宣讲培训</w:t>
            </w:r>
          </w:p>
        </w:tc>
        <w:tc>
          <w:tcPr>
            <w:tcW w:w="248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开发区社管二局、安源区青山村、安源区略下村、安源区藕塘边社区、武功山风景名胜区桂花村党员干部</w:t>
            </w:r>
          </w:p>
        </w:tc>
        <w:tc>
          <w:tcPr>
            <w:tcW w:w="37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5</w:t>
            </w:r>
          </w:p>
        </w:tc>
        <w:tc>
          <w:tcPr>
            <w:tcW w:w="6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431</w:t>
            </w:r>
          </w:p>
        </w:tc>
      </w:tr>
      <w:tr>
        <w:tblPrEx>
          <w:tblCellMar>
            <w:top w:w="0" w:type="dxa"/>
            <w:left w:w="108" w:type="dxa"/>
            <w:bottom w:w="0" w:type="dxa"/>
            <w:right w:w="108" w:type="dxa"/>
          </w:tblCellMar>
        </w:tblPrEx>
        <w:trPr>
          <w:trHeight w:val="340" w:hRule="atLeast"/>
          <w:jc w:val="center"/>
        </w:trPr>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10</w:t>
            </w:r>
          </w:p>
        </w:tc>
        <w:tc>
          <w:tcPr>
            <w:tcW w:w="105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油菜种植培训</w:t>
            </w:r>
          </w:p>
        </w:tc>
        <w:tc>
          <w:tcPr>
            <w:tcW w:w="248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莲花县湖上村农民</w:t>
            </w:r>
          </w:p>
        </w:tc>
        <w:tc>
          <w:tcPr>
            <w:tcW w:w="37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1</w:t>
            </w:r>
          </w:p>
        </w:tc>
        <w:tc>
          <w:tcPr>
            <w:tcW w:w="6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59</w:t>
            </w:r>
          </w:p>
        </w:tc>
      </w:tr>
      <w:tr>
        <w:tblPrEx>
          <w:tblCellMar>
            <w:top w:w="0" w:type="dxa"/>
            <w:left w:w="108" w:type="dxa"/>
            <w:bottom w:w="0" w:type="dxa"/>
            <w:right w:w="108" w:type="dxa"/>
          </w:tblCellMar>
        </w:tblPrEx>
        <w:trPr>
          <w:trHeight w:val="340" w:hRule="atLeast"/>
          <w:jc w:val="center"/>
        </w:trPr>
        <w:tc>
          <w:tcPr>
            <w:tcW w:w="43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11</w:t>
            </w:r>
          </w:p>
        </w:tc>
        <w:tc>
          <w:tcPr>
            <w:tcW w:w="105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研学旅行</w:t>
            </w:r>
          </w:p>
        </w:tc>
        <w:tc>
          <w:tcPr>
            <w:tcW w:w="248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中小学生</w:t>
            </w:r>
          </w:p>
        </w:tc>
        <w:tc>
          <w:tcPr>
            <w:tcW w:w="37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20</w:t>
            </w:r>
          </w:p>
        </w:tc>
        <w:tc>
          <w:tcPr>
            <w:tcW w:w="6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10921</w:t>
            </w:r>
          </w:p>
        </w:tc>
      </w:tr>
      <w:tr>
        <w:tblPrEx>
          <w:tblCellMar>
            <w:top w:w="0" w:type="dxa"/>
            <w:left w:w="108" w:type="dxa"/>
            <w:bottom w:w="0" w:type="dxa"/>
            <w:right w:w="108" w:type="dxa"/>
          </w:tblCellMar>
        </w:tblPrEx>
        <w:trPr>
          <w:trHeight w:val="340" w:hRule="atLeast"/>
          <w:jc w:val="center"/>
        </w:trPr>
        <w:tc>
          <w:tcPr>
            <w:tcW w:w="3975"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合计</w:t>
            </w:r>
          </w:p>
        </w:tc>
        <w:tc>
          <w:tcPr>
            <w:tcW w:w="37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69</w:t>
            </w:r>
          </w:p>
        </w:tc>
        <w:tc>
          <w:tcPr>
            <w:tcW w:w="65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14031</w:t>
            </w:r>
          </w:p>
        </w:tc>
      </w:tr>
      <w:tr>
        <w:tblPrEx>
          <w:tblCellMar>
            <w:top w:w="0" w:type="dxa"/>
            <w:left w:w="108" w:type="dxa"/>
            <w:bottom w:w="0" w:type="dxa"/>
            <w:right w:w="108" w:type="dxa"/>
          </w:tblCellMar>
        </w:tblPrEx>
        <w:trPr>
          <w:trHeight w:val="340" w:hRule="atLeast"/>
          <w:jc w:val="center"/>
        </w:trPr>
        <w:tc>
          <w:tcPr>
            <w:tcW w:w="3975" w:type="pct"/>
            <w:gridSpan w:val="3"/>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全省排名</w:t>
            </w:r>
          </w:p>
        </w:tc>
        <w:tc>
          <w:tcPr>
            <w:tcW w:w="374" w:type="pc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2</w:t>
            </w:r>
          </w:p>
        </w:tc>
        <w:tc>
          <w:tcPr>
            <w:tcW w:w="650" w:type="pc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3</w:t>
            </w:r>
          </w:p>
        </w:tc>
      </w:tr>
    </w:tbl>
    <w:p>
      <w:pPr>
        <w:pStyle w:val="2"/>
        <w:keepNext w:val="0"/>
        <w:keepLines w:val="0"/>
        <w:pageBreakBefore w:val="0"/>
        <w:widowControl w:val="0"/>
        <w:kinsoku/>
        <w:wordWrap/>
        <w:overflowPunct/>
        <w:topLinePunct w:val="0"/>
        <w:autoSpaceDE/>
        <w:autoSpaceDN/>
        <w:bidi w:val="0"/>
        <w:adjustRightInd/>
        <w:snapToGrid/>
        <w:spacing w:after="0" w:line="100" w:lineRule="exact"/>
        <w:textAlignment w:val="auto"/>
        <w:rPr>
          <w:color w:val="auto"/>
          <w:u w:val="none"/>
        </w:rPr>
      </w:pPr>
    </w:p>
    <w:p>
      <w:pPr>
        <w:keepNext w:val="0"/>
        <w:keepLines w:val="0"/>
        <w:pageBreakBefore w:val="0"/>
        <w:widowControl w:val="0"/>
        <w:kinsoku/>
        <w:wordWrap/>
        <w:overflowPunct/>
        <w:topLinePunct w:val="0"/>
        <w:autoSpaceDE/>
        <w:autoSpaceDN/>
        <w:bidi w:val="0"/>
        <w:adjustRightInd w:val="0"/>
        <w:snapToGrid w:val="0"/>
        <w:spacing w:line="500" w:lineRule="exact"/>
        <w:ind w:left="630"/>
        <w:textAlignment w:val="auto"/>
        <w:outlineLvl w:val="1"/>
        <w:rPr>
          <w:rFonts w:ascii="仿宋" w:hAnsi="仿宋" w:eastAsia="仿宋" w:cs="仿宋"/>
          <w:b/>
          <w:bCs/>
          <w:color w:val="auto"/>
          <w:sz w:val="32"/>
          <w:szCs w:val="32"/>
          <w:u w:val="none"/>
        </w:rPr>
      </w:pPr>
      <w:r>
        <w:rPr>
          <w:rFonts w:hint="eastAsia" w:ascii="楷体" w:hAnsi="楷体" w:eastAsia="楷体" w:cs="楷体"/>
          <w:b w:val="0"/>
          <w:bCs w:val="0"/>
          <w:color w:val="auto"/>
          <w:sz w:val="32"/>
          <w:szCs w:val="32"/>
          <w:u w:val="none"/>
        </w:rPr>
        <w:t>（三）学校专业设置情况</w:t>
      </w:r>
    </w:p>
    <w:p>
      <w:pPr>
        <w:keepNext w:val="0"/>
        <w:keepLines w:val="0"/>
        <w:pageBreakBefore w:val="0"/>
        <w:widowControl w:val="0"/>
        <w:kinsoku/>
        <w:wordWrap/>
        <w:overflowPunct/>
        <w:topLinePunct w:val="0"/>
        <w:autoSpaceDE/>
        <w:autoSpaceDN/>
        <w:bidi w:val="0"/>
        <w:spacing w:line="500" w:lineRule="exact"/>
        <w:ind w:firstLine="640" w:firstLineChars="200"/>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学校认真贯彻党的教育方针，坚持社会主义办学方向，落实立德树人根本任务，主动适应萍乡经济建设和社会发展的需要，不断更新观念、改善条件、加强管理，办学实力不断增强。下设4个县级开放学院和2个</w:t>
      </w:r>
      <w:r>
        <w:rPr>
          <w:rFonts w:hint="eastAsia" w:ascii="仿宋" w:hAnsi="仿宋" w:eastAsia="仿宋" w:cs="仿宋"/>
          <w:color w:val="auto"/>
          <w:sz w:val="32"/>
          <w:szCs w:val="32"/>
          <w:u w:val="none"/>
          <w:lang w:eastAsia="zh-CN"/>
        </w:rPr>
        <w:t>联办学校</w:t>
      </w:r>
      <w:r>
        <w:rPr>
          <w:rFonts w:hint="eastAsia" w:ascii="仿宋" w:hAnsi="仿宋" w:eastAsia="仿宋" w:cs="仿宋"/>
          <w:color w:val="auto"/>
          <w:sz w:val="32"/>
          <w:szCs w:val="32"/>
          <w:u w:val="none"/>
        </w:rPr>
        <w:t>，已形成开放教育、网络教育、函授教育、高职教育、中职教育、非学历教育为一体的多元办学格局；学历层次涵盖中专、大专、本科、研究生，设有文、理、工、农、医、法等一百多个专业。</w:t>
      </w:r>
    </w:p>
    <w:p>
      <w:pPr>
        <w:keepNext w:val="0"/>
        <w:keepLines w:val="0"/>
        <w:pageBreakBefore w:val="0"/>
        <w:widowControl w:val="0"/>
        <w:kinsoku/>
        <w:wordWrap/>
        <w:overflowPunct/>
        <w:topLinePunct w:val="0"/>
        <w:autoSpaceDE/>
        <w:autoSpaceDN/>
        <w:bidi w:val="0"/>
        <w:spacing w:line="500" w:lineRule="exact"/>
        <w:ind w:firstLine="640" w:firstLineChars="200"/>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2021年度招收开放教育本、专科专业共29个。其中，本科12个，占比41.4%；专科17个，占比58.6%。2021年度招收职业教育（</w:t>
      </w:r>
      <w:r>
        <w:rPr>
          <w:rFonts w:hint="eastAsia" w:ascii="仿宋" w:hAnsi="仿宋" w:eastAsia="仿宋" w:cs="仿宋"/>
          <w:color w:val="auto"/>
          <w:sz w:val="32"/>
          <w:szCs w:val="32"/>
          <w:u w:val="none"/>
          <w:lang w:val="en-US" w:eastAsia="zh-CN"/>
        </w:rPr>
        <w:t>高职</w:t>
      </w:r>
      <w:r>
        <w:rPr>
          <w:rFonts w:hint="eastAsia" w:ascii="仿宋" w:hAnsi="仿宋" w:eastAsia="仿宋" w:cs="仿宋"/>
          <w:color w:val="auto"/>
          <w:sz w:val="32"/>
          <w:szCs w:val="32"/>
          <w:u w:val="none"/>
        </w:rPr>
        <w:t>扩招）专业共2个。</w:t>
      </w:r>
    </w:p>
    <w:p>
      <w:pPr>
        <w:pStyle w:val="2"/>
        <w:keepNext w:val="0"/>
        <w:keepLines w:val="0"/>
        <w:pageBreakBefore w:val="0"/>
        <w:widowControl w:val="0"/>
        <w:kinsoku/>
        <w:wordWrap/>
        <w:overflowPunct/>
        <w:topLinePunct w:val="0"/>
        <w:autoSpaceDE/>
        <w:autoSpaceDN/>
        <w:bidi w:val="0"/>
        <w:spacing w:after="0" w:line="50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表2-3-1</w:t>
      </w:r>
      <w:r>
        <w:rPr>
          <w:rFonts w:hint="eastAsia" w:ascii="仿宋" w:hAnsi="仿宋" w:eastAsia="仿宋" w:cs="仿宋"/>
          <w:color w:val="auto"/>
          <w:sz w:val="28"/>
          <w:szCs w:val="28"/>
          <w:u w:val="none"/>
        </w:rPr>
        <w:t xml:space="preserve"> 2021</w:t>
      </w:r>
      <w:r>
        <w:rPr>
          <w:rFonts w:hint="eastAsia" w:ascii="仿宋" w:hAnsi="仿宋" w:eastAsia="仿宋" w:cs="仿宋"/>
          <w:color w:val="auto"/>
          <w:kern w:val="0"/>
          <w:sz w:val="28"/>
          <w:szCs w:val="28"/>
          <w:u w:val="none"/>
        </w:rPr>
        <w:t>年度开放教育招生规模排名前五位的本科专业</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54"/>
        <w:gridCol w:w="3124"/>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专业名称</w:t>
            </w:r>
          </w:p>
        </w:tc>
        <w:tc>
          <w:tcPr>
            <w:tcW w:w="1724"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招生数（人）</w:t>
            </w:r>
          </w:p>
        </w:tc>
        <w:tc>
          <w:tcPr>
            <w:tcW w:w="131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行政管理</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200</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土木工程</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192</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汉语言文学</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104</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会计</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94</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法学</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89</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kern w:val="0"/>
                <w:sz w:val="28"/>
                <w:szCs w:val="28"/>
                <w:u w:val="none"/>
                <w:lang w:bidi="ar"/>
              </w:rPr>
            </w:pPr>
            <w:r>
              <w:rPr>
                <w:rFonts w:hint="eastAsia" w:ascii="仿宋" w:hAnsi="仿宋" w:eastAsia="仿宋" w:cs="仿宋"/>
                <w:color w:val="auto"/>
                <w:kern w:val="0"/>
                <w:sz w:val="28"/>
                <w:szCs w:val="28"/>
                <w:u w:val="none"/>
                <w:lang w:bidi="ar"/>
              </w:rPr>
              <w:t>9.3%</w:t>
            </w:r>
          </w:p>
        </w:tc>
      </w:tr>
    </w:tbl>
    <w:p>
      <w:pPr>
        <w:pStyle w:val="2"/>
        <w:keepNext w:val="0"/>
        <w:keepLines w:val="0"/>
        <w:pageBreakBefore w:val="0"/>
        <w:widowControl w:val="0"/>
        <w:kinsoku/>
        <w:wordWrap/>
        <w:overflowPunct/>
        <w:topLinePunct w:val="0"/>
        <w:autoSpaceDE/>
        <w:autoSpaceDN/>
        <w:bidi w:val="0"/>
        <w:adjustRightInd/>
        <w:snapToGrid/>
        <w:spacing w:after="0" w:line="50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 xml:space="preserve">表2-3-2 </w:t>
      </w:r>
      <w:r>
        <w:rPr>
          <w:rFonts w:hint="eastAsia" w:ascii="仿宋" w:hAnsi="仿宋" w:eastAsia="仿宋" w:cs="仿宋"/>
          <w:color w:val="auto"/>
          <w:sz w:val="28"/>
          <w:szCs w:val="28"/>
          <w:u w:val="none"/>
        </w:rPr>
        <w:t>2021</w:t>
      </w:r>
      <w:r>
        <w:rPr>
          <w:rFonts w:hint="eastAsia" w:ascii="仿宋" w:hAnsi="仿宋" w:eastAsia="仿宋" w:cs="仿宋"/>
          <w:color w:val="auto"/>
          <w:kern w:val="0"/>
          <w:sz w:val="28"/>
          <w:szCs w:val="28"/>
          <w:u w:val="none"/>
        </w:rPr>
        <w:t>年度开放教育招生规模排名前五位的专科专业</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54"/>
        <w:gridCol w:w="3124"/>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专业名称</w:t>
            </w:r>
          </w:p>
        </w:tc>
        <w:tc>
          <w:tcPr>
            <w:tcW w:w="1724"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招生数（人）</w:t>
            </w:r>
          </w:p>
        </w:tc>
        <w:tc>
          <w:tcPr>
            <w:tcW w:w="131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行政管理</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769</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27.3%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建筑工程技术</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476</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会计</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321</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工商企业管理</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315</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计算机信息管理</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200</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7.1%</w:t>
            </w:r>
          </w:p>
        </w:tc>
      </w:tr>
    </w:tbl>
    <w:p>
      <w:pPr>
        <w:pStyle w:val="2"/>
        <w:keepNext w:val="0"/>
        <w:keepLines w:val="0"/>
        <w:pageBreakBefore w:val="0"/>
        <w:widowControl w:val="0"/>
        <w:kinsoku/>
        <w:wordWrap/>
        <w:overflowPunct/>
        <w:topLinePunct w:val="0"/>
        <w:autoSpaceDE/>
        <w:autoSpaceDN/>
        <w:bidi w:val="0"/>
        <w:adjustRightInd/>
        <w:snapToGrid/>
        <w:spacing w:after="0" w:line="500" w:lineRule="exact"/>
        <w:jc w:val="center"/>
        <w:textAlignment w:val="auto"/>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表2-3-3</w:t>
      </w:r>
      <w:r>
        <w:rPr>
          <w:rFonts w:hint="eastAsia" w:ascii="仿宋" w:hAnsi="仿宋" w:eastAsia="仿宋" w:cs="仿宋"/>
          <w:color w:val="auto"/>
          <w:sz w:val="28"/>
          <w:szCs w:val="28"/>
          <w:u w:val="none"/>
        </w:rPr>
        <w:t xml:space="preserve"> 2021</w:t>
      </w:r>
      <w:r>
        <w:rPr>
          <w:rFonts w:hint="eastAsia" w:ascii="仿宋" w:hAnsi="仿宋" w:eastAsia="仿宋" w:cs="仿宋"/>
          <w:color w:val="auto"/>
          <w:kern w:val="0"/>
          <w:sz w:val="28"/>
          <w:szCs w:val="28"/>
          <w:u w:val="none"/>
        </w:rPr>
        <w:t>年度职业教育（</w:t>
      </w:r>
      <w:r>
        <w:rPr>
          <w:rFonts w:hint="eastAsia" w:ascii="仿宋" w:hAnsi="仿宋" w:eastAsia="仿宋" w:cs="仿宋"/>
          <w:color w:val="auto"/>
          <w:kern w:val="0"/>
          <w:sz w:val="28"/>
          <w:szCs w:val="28"/>
          <w:u w:val="none"/>
          <w:lang w:val="en-US" w:eastAsia="zh-CN"/>
        </w:rPr>
        <w:t>高职</w:t>
      </w:r>
      <w:r>
        <w:rPr>
          <w:rFonts w:hint="eastAsia" w:ascii="仿宋" w:hAnsi="仿宋" w:eastAsia="仿宋" w:cs="仿宋"/>
          <w:color w:val="auto"/>
          <w:kern w:val="0"/>
          <w:sz w:val="28"/>
          <w:szCs w:val="28"/>
          <w:u w:val="none"/>
        </w:rPr>
        <w:t>扩招）招收专业</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54"/>
        <w:gridCol w:w="3124"/>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专业名称</w:t>
            </w:r>
          </w:p>
        </w:tc>
        <w:tc>
          <w:tcPr>
            <w:tcW w:w="1724"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招生数（人）</w:t>
            </w:r>
          </w:p>
        </w:tc>
        <w:tc>
          <w:tcPr>
            <w:tcW w:w="131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大数据与会计</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346</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68.6%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园林技术</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158</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31.4%</w:t>
            </w:r>
          </w:p>
        </w:tc>
      </w:tr>
    </w:tbl>
    <w:p>
      <w:pPr>
        <w:keepNext w:val="0"/>
        <w:keepLines w:val="0"/>
        <w:pageBreakBefore w:val="0"/>
        <w:widowControl w:val="0"/>
        <w:kinsoku/>
        <w:wordWrap/>
        <w:overflowPunct/>
        <w:topLinePunct w:val="0"/>
        <w:autoSpaceDE/>
        <w:autoSpaceDN/>
        <w:bidi w:val="0"/>
        <w:adjustRightInd w:val="0"/>
        <w:snapToGrid w:val="0"/>
        <w:spacing w:line="100" w:lineRule="exact"/>
        <w:ind w:firstLine="643" w:firstLineChars="200"/>
        <w:textAlignment w:val="auto"/>
        <w:outlineLvl w:val="1"/>
        <w:rPr>
          <w:rFonts w:hint="eastAsia" w:ascii="仿宋" w:hAnsi="仿宋" w:eastAsia="仿宋" w:cs="仿宋"/>
          <w:b/>
          <w:bCs/>
          <w:color w:val="auto"/>
          <w:sz w:val="32"/>
          <w:szCs w:val="32"/>
          <w:u w:val="none"/>
        </w:rPr>
      </w:pPr>
    </w:p>
    <w:p>
      <w:pPr>
        <w:keepNext w:val="0"/>
        <w:keepLines w:val="0"/>
        <w:pageBreakBefore w:val="0"/>
        <w:kinsoku/>
        <w:wordWrap/>
        <w:overflowPunct/>
        <w:topLinePunct w:val="0"/>
        <w:autoSpaceDE/>
        <w:autoSpaceDN/>
        <w:bidi w:val="0"/>
        <w:adjustRightInd w:val="0"/>
        <w:snapToGrid w:val="0"/>
        <w:spacing w:line="500" w:lineRule="exact"/>
        <w:ind w:firstLine="640" w:firstLineChars="200"/>
        <w:jc w:val="both"/>
        <w:textAlignment w:val="auto"/>
        <w:outlineLvl w:val="1"/>
        <w:rPr>
          <w:rFonts w:ascii="仿宋" w:hAnsi="仿宋" w:eastAsia="仿宋" w:cs="仿宋"/>
          <w:b/>
          <w:bCs/>
          <w:color w:val="auto"/>
          <w:sz w:val="32"/>
          <w:szCs w:val="32"/>
          <w:u w:val="none"/>
        </w:rPr>
      </w:pPr>
      <w:r>
        <w:rPr>
          <w:rFonts w:hint="eastAsia" w:ascii="楷体" w:hAnsi="楷体" w:eastAsia="楷体" w:cs="楷体"/>
          <w:b w:val="0"/>
          <w:bCs w:val="0"/>
          <w:color w:val="auto"/>
          <w:sz w:val="32"/>
          <w:szCs w:val="32"/>
          <w:u w:val="none"/>
        </w:rPr>
        <w:t>（四）质量提升综治工程</w:t>
      </w:r>
    </w:p>
    <w:p>
      <w:pPr>
        <w:pStyle w:val="2"/>
        <w:keepNext w:val="0"/>
        <w:keepLines w:val="0"/>
        <w:pageBreakBefore w:val="0"/>
        <w:kinsoku/>
        <w:wordWrap/>
        <w:overflowPunct/>
        <w:topLinePunct w:val="0"/>
        <w:autoSpaceDE/>
        <w:autoSpaceDN/>
        <w:bidi w:val="0"/>
        <w:spacing w:after="0" w:line="500" w:lineRule="exact"/>
        <w:jc w:val="both"/>
        <w:textAlignment w:val="auto"/>
        <w:outlineLvl w:val="2"/>
        <w:rPr>
          <w:rFonts w:ascii="仿宋" w:hAnsi="仿宋" w:eastAsia="仿宋" w:cs="仿宋"/>
          <w:color w:val="auto"/>
          <w:sz w:val="32"/>
          <w:szCs w:val="32"/>
          <w:u w:val="none"/>
        </w:rPr>
      </w:pPr>
      <w:r>
        <w:rPr>
          <w:rFonts w:hint="eastAsia" w:ascii="仿宋" w:hAnsi="仿宋" w:eastAsia="仿宋" w:cs="仿宋"/>
          <w:color w:val="auto"/>
          <w:sz w:val="32"/>
          <w:szCs w:val="32"/>
          <w:u w:val="none"/>
        </w:rPr>
        <w:t xml:space="preserve">    2021年，</w:t>
      </w:r>
      <w:r>
        <w:rPr>
          <w:rFonts w:hint="eastAsia" w:ascii="仿宋" w:hAnsi="仿宋" w:eastAsia="仿宋" w:cs="仿宋"/>
          <w:color w:val="auto"/>
          <w:sz w:val="32"/>
          <w:szCs w:val="32"/>
          <w:u w:val="none"/>
          <w:lang w:val="en-US" w:eastAsia="zh-CN"/>
        </w:rPr>
        <w:t>学</w:t>
      </w:r>
      <w:r>
        <w:rPr>
          <w:rFonts w:hint="eastAsia" w:ascii="仿宋" w:hAnsi="仿宋" w:eastAsia="仿宋" w:cs="仿宋"/>
          <w:color w:val="auto"/>
          <w:sz w:val="32"/>
          <w:szCs w:val="32"/>
          <w:u w:val="none"/>
        </w:rPr>
        <w:t>校继续落实国家开放大学学历教育“提质创优”战略，始终将“治学、治招、治考”作为工作重点，</w:t>
      </w:r>
      <w:r>
        <w:rPr>
          <w:rFonts w:hint="eastAsia" w:ascii="仿宋" w:hAnsi="仿宋" w:eastAsia="仿宋" w:cs="仿宋"/>
          <w:color w:val="auto"/>
          <w:kern w:val="0"/>
          <w:sz w:val="32"/>
          <w:szCs w:val="32"/>
          <w:u w:val="none"/>
        </w:rPr>
        <w:t>省市各级领导多次来校调研指导工作，地市兄弟院校也多次来校学习考察，学校各项工作走在全省开大系统前列。</w:t>
      </w:r>
    </w:p>
    <w:p>
      <w:pPr>
        <w:pStyle w:val="2"/>
        <w:keepNext w:val="0"/>
        <w:keepLines w:val="0"/>
        <w:pageBreakBefore w:val="0"/>
        <w:numPr>
          <w:ilvl w:val="0"/>
          <w:numId w:val="0"/>
        </w:numPr>
        <w:kinsoku/>
        <w:wordWrap/>
        <w:overflowPunct/>
        <w:topLinePunct w:val="0"/>
        <w:autoSpaceDE/>
        <w:autoSpaceDN/>
        <w:bidi w:val="0"/>
        <w:spacing w:after="0" w:line="500" w:lineRule="exact"/>
        <w:ind w:firstLine="640" w:firstLineChars="200"/>
        <w:jc w:val="both"/>
        <w:textAlignment w:val="auto"/>
        <w:outlineLvl w:val="2"/>
        <w:rPr>
          <w:rFonts w:hint="eastAsia" w:ascii="仿宋" w:hAnsi="仿宋" w:eastAsia="仿宋" w:cs="仿宋"/>
          <w:b w:val="0"/>
          <w:bCs w:val="0"/>
          <w:color w:val="auto"/>
          <w:sz w:val="32"/>
          <w:szCs w:val="32"/>
          <w:u w:val="none"/>
        </w:rPr>
      </w:pPr>
      <w:r>
        <w:rPr>
          <w:rFonts w:hint="eastAsia" w:ascii="仿宋" w:hAnsi="仿宋" w:eastAsia="仿宋" w:cs="仿宋"/>
          <w:b w:val="0"/>
          <w:bCs w:val="0"/>
          <w:color w:val="auto"/>
          <w:sz w:val="32"/>
          <w:szCs w:val="32"/>
          <w:u w:val="none"/>
          <w:lang w:val="en-US" w:eastAsia="zh-CN"/>
        </w:rPr>
        <w:t>1.</w:t>
      </w:r>
      <w:r>
        <w:rPr>
          <w:rFonts w:hint="eastAsia" w:ascii="仿宋" w:hAnsi="仿宋" w:eastAsia="仿宋" w:cs="仿宋"/>
          <w:b w:val="0"/>
          <w:bCs w:val="0"/>
          <w:color w:val="auto"/>
          <w:sz w:val="32"/>
          <w:szCs w:val="32"/>
          <w:u w:val="none"/>
        </w:rPr>
        <w:t>质量保障制度</w:t>
      </w:r>
    </w:p>
    <w:p>
      <w:pPr>
        <w:pStyle w:val="3"/>
        <w:keepNext w:val="0"/>
        <w:keepLines w:val="0"/>
        <w:pageBreakBefore w:val="0"/>
        <w:kinsoku/>
        <w:wordWrap/>
        <w:overflowPunct/>
        <w:topLinePunct w:val="0"/>
        <w:autoSpaceDE/>
        <w:autoSpaceDN/>
        <w:bidi w:val="0"/>
        <w:spacing w:after="0" w:line="500" w:lineRule="exact"/>
        <w:ind w:firstLine="640" w:firstLineChars="200"/>
        <w:jc w:val="both"/>
        <w:textAlignment w:val="auto"/>
        <w:rPr>
          <w:rFonts w:hint="eastAsia" w:ascii="仿宋" w:hAnsi="仿宋" w:eastAsia="仿宋" w:cs="仿宋"/>
          <w:b w:val="0"/>
          <w:bCs w:val="0"/>
          <w:color w:val="auto"/>
          <w:sz w:val="32"/>
          <w:szCs w:val="32"/>
          <w:u w:val="none"/>
        </w:rPr>
      </w:pPr>
      <w:r>
        <w:rPr>
          <w:rFonts w:hint="eastAsia" w:ascii="仿宋" w:hAnsi="仿宋" w:eastAsia="仿宋" w:cs="仿宋"/>
          <w:b w:val="0"/>
          <w:bCs w:val="0"/>
          <w:color w:val="auto"/>
          <w:sz w:val="32"/>
          <w:szCs w:val="32"/>
          <w:u w:val="none"/>
        </w:rPr>
        <w:t>2021年，共召开质量提升工作研讨会5次，制定了《萍乡开放大学关于规范招生工作的通知》《关于组建开放教育专业教学团队的通知》《关于进一步加强考试管理的若干意见》等制度，以制度促管理，以管理提质量。</w:t>
      </w:r>
    </w:p>
    <w:p>
      <w:pPr>
        <w:keepNext w:val="0"/>
        <w:keepLines w:val="0"/>
        <w:pageBreakBefore w:val="0"/>
        <w:widowControl/>
        <w:kinsoku/>
        <w:wordWrap/>
        <w:overflowPunct/>
        <w:topLinePunct w:val="0"/>
        <w:autoSpaceDE/>
        <w:autoSpaceDN/>
        <w:bidi w:val="0"/>
        <w:spacing w:line="500" w:lineRule="exact"/>
        <w:ind w:firstLine="640" w:firstLineChars="200"/>
        <w:jc w:val="both"/>
        <w:textAlignment w:val="auto"/>
        <w:rPr>
          <w:rFonts w:hint="eastAsia" w:ascii="仿宋" w:hAnsi="仿宋" w:eastAsia="仿宋" w:cs="仿宋"/>
          <w:color w:val="auto"/>
          <w:sz w:val="32"/>
          <w:szCs w:val="32"/>
          <w:u w:val="none"/>
        </w:rPr>
      </w:pPr>
      <w:r>
        <w:rPr>
          <w:rFonts w:hint="eastAsia" w:ascii="仿宋" w:hAnsi="仿宋" w:eastAsia="仿宋" w:cs="仿宋"/>
          <w:b w:val="0"/>
          <w:bCs w:val="0"/>
          <w:color w:val="auto"/>
          <w:sz w:val="32"/>
          <w:szCs w:val="32"/>
          <w:u w:val="none"/>
        </w:rPr>
        <w:t xml:space="preserve"> 2021年度建立健全校内质量管理制度5项</w:t>
      </w:r>
      <w:r>
        <w:rPr>
          <w:rFonts w:hint="eastAsia" w:ascii="仿宋" w:hAnsi="仿宋" w:eastAsia="仿宋" w:cs="Times New Roman"/>
          <w:color w:val="auto"/>
          <w:sz w:val="32"/>
          <w:szCs w:val="32"/>
          <w:u w:val="none"/>
        </w:rPr>
        <w:t>。</w:t>
      </w:r>
    </w:p>
    <w:p>
      <w:pPr>
        <w:keepNext w:val="0"/>
        <w:keepLines w:val="0"/>
        <w:pageBreakBefore w:val="0"/>
        <w:widowControl/>
        <w:kinsoku/>
        <w:wordWrap/>
        <w:overflowPunct/>
        <w:topLinePunct w:val="0"/>
        <w:autoSpaceDE/>
        <w:autoSpaceDN/>
        <w:bidi w:val="0"/>
        <w:spacing w:line="50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表2-4-1 2021年度重要规章制度建设情况</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
        <w:gridCol w:w="1815"/>
        <w:gridCol w:w="6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序号</w:t>
            </w:r>
          </w:p>
        </w:tc>
        <w:tc>
          <w:tcPr>
            <w:tcW w:w="1002"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类别</w:t>
            </w:r>
          </w:p>
        </w:tc>
        <w:tc>
          <w:tcPr>
            <w:tcW w:w="3481"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规章制度名称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1</w:t>
            </w:r>
          </w:p>
        </w:tc>
        <w:tc>
          <w:tcPr>
            <w:tcW w:w="100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治考</w:t>
            </w:r>
          </w:p>
        </w:tc>
        <w:tc>
          <w:tcPr>
            <w:tcW w:w="348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关于进一步加强考试管理的若干意见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2</w:t>
            </w:r>
          </w:p>
        </w:tc>
        <w:tc>
          <w:tcPr>
            <w:tcW w:w="100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治考</w:t>
            </w:r>
          </w:p>
        </w:tc>
        <w:tc>
          <w:tcPr>
            <w:tcW w:w="348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萍乡开放大学2021年秋季学期整治替考专项行动实施方案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3</w:t>
            </w:r>
          </w:p>
        </w:tc>
        <w:tc>
          <w:tcPr>
            <w:tcW w:w="100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治招</w:t>
            </w:r>
          </w:p>
        </w:tc>
        <w:tc>
          <w:tcPr>
            <w:tcW w:w="348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萍乡开放大学关于规范招生工作的通知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4</w:t>
            </w:r>
          </w:p>
        </w:tc>
        <w:tc>
          <w:tcPr>
            <w:tcW w:w="100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治学</w:t>
            </w:r>
          </w:p>
        </w:tc>
        <w:tc>
          <w:tcPr>
            <w:tcW w:w="348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关于组建开放教育专业教学团队的通知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5</w:t>
            </w:r>
          </w:p>
        </w:tc>
        <w:tc>
          <w:tcPr>
            <w:tcW w:w="100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治学</w:t>
            </w:r>
          </w:p>
        </w:tc>
        <w:tc>
          <w:tcPr>
            <w:tcW w:w="348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u w:val="none"/>
              </w:rPr>
            </w:pPr>
            <w:r>
              <w:rPr>
                <w:rFonts w:hint="eastAsia" w:ascii="仿宋" w:hAnsi="仿宋" w:eastAsia="仿宋" w:cs="仿宋"/>
                <w:color w:val="auto"/>
                <w:sz w:val="28"/>
                <w:szCs w:val="28"/>
                <w:u w:val="none"/>
              </w:rPr>
              <w:t>关于进一步加强教学管理的试行办法</w:t>
            </w:r>
          </w:p>
        </w:tc>
      </w:tr>
    </w:tbl>
    <w:p>
      <w:pPr>
        <w:pStyle w:val="4"/>
        <w:keepNext w:val="0"/>
        <w:keepLines w:val="0"/>
        <w:pageBreakBefore w:val="0"/>
        <w:widowControl w:val="0"/>
        <w:kinsoku/>
        <w:wordWrap/>
        <w:overflowPunct/>
        <w:topLinePunct w:val="0"/>
        <w:autoSpaceDE/>
        <w:autoSpaceDN/>
        <w:bidi w:val="0"/>
        <w:adjustRightInd/>
        <w:snapToGrid/>
        <w:spacing w:line="100" w:lineRule="exact"/>
        <w:jc w:val="both"/>
        <w:textAlignment w:val="auto"/>
        <w:rPr>
          <w:color w:val="auto"/>
          <w:u w:val="none"/>
        </w:rPr>
      </w:pPr>
    </w:p>
    <w:p>
      <w:pPr>
        <w:keepNext w:val="0"/>
        <w:keepLines w:val="0"/>
        <w:pageBreakBefore w:val="0"/>
        <w:numPr>
          <w:ilvl w:val="0"/>
          <w:numId w:val="0"/>
        </w:numPr>
        <w:kinsoku/>
        <w:wordWrap/>
        <w:overflowPunct/>
        <w:topLinePunct w:val="0"/>
        <w:autoSpaceDE/>
        <w:autoSpaceDN/>
        <w:bidi w:val="0"/>
        <w:spacing w:line="500" w:lineRule="exact"/>
        <w:ind w:firstLine="640" w:firstLineChars="200"/>
        <w:jc w:val="both"/>
        <w:outlineLvl w:val="2"/>
        <w:rPr>
          <w:rFonts w:hint="eastAsia" w:ascii="仿宋" w:hAnsi="仿宋" w:eastAsia="仿宋" w:cs="仿宋"/>
          <w:b w:val="0"/>
          <w:bCs w:val="0"/>
          <w:color w:val="auto"/>
          <w:sz w:val="32"/>
          <w:szCs w:val="32"/>
          <w:u w:val="none"/>
        </w:rPr>
      </w:pPr>
      <w:r>
        <w:rPr>
          <w:rFonts w:hint="eastAsia" w:ascii="仿宋" w:hAnsi="仿宋" w:eastAsia="仿宋" w:cs="仿宋"/>
          <w:b w:val="0"/>
          <w:bCs w:val="0"/>
          <w:color w:val="auto"/>
          <w:sz w:val="32"/>
          <w:szCs w:val="32"/>
          <w:u w:val="none"/>
          <w:lang w:val="en-US" w:eastAsia="zh-CN"/>
        </w:rPr>
        <w:t>2.</w:t>
      </w:r>
      <w:r>
        <w:rPr>
          <w:rFonts w:hint="eastAsia" w:ascii="仿宋" w:hAnsi="仿宋" w:eastAsia="仿宋" w:cs="仿宋"/>
          <w:b w:val="0"/>
          <w:bCs w:val="0"/>
          <w:color w:val="auto"/>
          <w:sz w:val="32"/>
          <w:szCs w:val="32"/>
          <w:u w:val="none"/>
        </w:rPr>
        <w:t>办学体系和招生管理</w:t>
      </w:r>
    </w:p>
    <w:p>
      <w:pPr>
        <w:keepNext w:val="0"/>
        <w:keepLines w:val="0"/>
        <w:pageBreakBefore w:val="0"/>
        <w:widowControl/>
        <w:kinsoku/>
        <w:wordWrap/>
        <w:overflowPunct/>
        <w:topLinePunct w:val="0"/>
        <w:autoSpaceDE/>
        <w:autoSpaceDN/>
        <w:bidi w:val="0"/>
        <w:spacing w:line="500" w:lineRule="exact"/>
        <w:ind w:firstLine="640" w:firstLineChars="200"/>
        <w:jc w:val="both"/>
        <w:rPr>
          <w:rFonts w:hint="eastAsia" w:ascii="仿宋" w:hAnsi="仿宋" w:eastAsia="仿宋" w:cs="仿宋"/>
          <w:b w:val="0"/>
          <w:bCs w:val="0"/>
          <w:color w:val="auto"/>
          <w:sz w:val="32"/>
          <w:szCs w:val="32"/>
          <w:u w:val="none"/>
        </w:rPr>
      </w:pPr>
      <w:r>
        <w:rPr>
          <w:rFonts w:hint="eastAsia" w:ascii="仿宋" w:hAnsi="仿宋" w:eastAsia="仿宋" w:cs="仿宋"/>
          <w:b w:val="0"/>
          <w:bCs w:val="0"/>
          <w:color w:val="auto"/>
          <w:sz w:val="32"/>
          <w:szCs w:val="32"/>
          <w:u w:val="none"/>
          <w:lang w:val="en-US" w:eastAsia="zh-CN"/>
        </w:rPr>
        <w:t>萍乡</w:t>
      </w:r>
      <w:r>
        <w:rPr>
          <w:rFonts w:hint="eastAsia" w:ascii="仿宋" w:hAnsi="仿宋" w:eastAsia="仿宋" w:cs="仿宋"/>
          <w:b w:val="0"/>
          <w:bCs w:val="0"/>
          <w:color w:val="auto"/>
          <w:sz w:val="32"/>
          <w:szCs w:val="32"/>
          <w:u w:val="none"/>
        </w:rPr>
        <w:t>市共辖3个市辖区、0个县级市、3个县。截至2021年12月，</w:t>
      </w:r>
      <w:r>
        <w:rPr>
          <w:rFonts w:hint="eastAsia" w:ascii="仿宋" w:hAnsi="仿宋" w:eastAsia="仿宋" w:cs="仿宋"/>
          <w:b w:val="0"/>
          <w:bCs w:val="0"/>
          <w:color w:val="auto"/>
          <w:sz w:val="32"/>
          <w:szCs w:val="32"/>
          <w:u w:val="none"/>
          <w:lang w:val="en-US" w:eastAsia="zh-CN"/>
        </w:rPr>
        <w:t>学</w:t>
      </w:r>
      <w:r>
        <w:rPr>
          <w:rFonts w:hint="eastAsia" w:ascii="仿宋" w:hAnsi="仿宋" w:eastAsia="仿宋" w:cs="仿宋"/>
          <w:b w:val="0"/>
          <w:bCs w:val="0"/>
          <w:color w:val="auto"/>
          <w:sz w:val="32"/>
          <w:szCs w:val="32"/>
          <w:u w:val="none"/>
        </w:rPr>
        <w:t>校所辖县级机构覆盖2个市辖区、0个县级市、3个县。所辖县级机构包含4个开放学院（4个已招生办学）。年度新增0个学习中心，撤销0个学习中心。除校本部外，学习中心本年度共招收学生871人，本年度招收学生100人以上的学习中心4个（芦溪375，湘东154，莲花109，公关120）。</w:t>
      </w:r>
    </w:p>
    <w:p>
      <w:pPr>
        <w:keepNext w:val="0"/>
        <w:keepLines w:val="0"/>
        <w:pageBreakBefore w:val="0"/>
        <w:kinsoku/>
        <w:wordWrap/>
        <w:overflowPunct/>
        <w:topLinePunct w:val="0"/>
        <w:autoSpaceDE/>
        <w:autoSpaceDN/>
        <w:bidi w:val="0"/>
        <w:spacing w:line="500" w:lineRule="exact"/>
        <w:ind w:firstLine="640" w:firstLineChars="200"/>
        <w:jc w:val="both"/>
        <w:rPr>
          <w:rFonts w:hint="eastAsia" w:ascii="仿宋" w:hAnsi="仿宋" w:eastAsia="仿宋" w:cs="仿宋"/>
          <w:b w:val="0"/>
          <w:bCs w:val="0"/>
          <w:color w:val="auto"/>
          <w:sz w:val="32"/>
          <w:szCs w:val="32"/>
          <w:u w:val="none"/>
        </w:rPr>
      </w:pPr>
      <w:r>
        <w:rPr>
          <w:rFonts w:hint="eastAsia" w:ascii="仿宋" w:hAnsi="仿宋" w:eastAsia="仿宋" w:cs="仿宋"/>
          <w:b w:val="0"/>
          <w:bCs w:val="0"/>
          <w:color w:val="auto"/>
          <w:sz w:val="32"/>
          <w:szCs w:val="32"/>
          <w:u w:val="none"/>
        </w:rPr>
        <w:t>学校严格按国家开放大学、</w:t>
      </w:r>
      <w:r>
        <w:rPr>
          <w:rFonts w:hint="eastAsia" w:ascii="仿宋" w:hAnsi="仿宋" w:eastAsia="仿宋" w:cs="仿宋"/>
          <w:b w:val="0"/>
          <w:bCs w:val="0"/>
          <w:color w:val="auto"/>
          <w:sz w:val="32"/>
          <w:szCs w:val="32"/>
          <w:u w:val="none"/>
          <w:lang w:val="en-US" w:eastAsia="zh-CN"/>
        </w:rPr>
        <w:t>省校</w:t>
      </w:r>
      <w:r>
        <w:rPr>
          <w:rFonts w:hint="eastAsia" w:ascii="仿宋" w:hAnsi="仿宋" w:eastAsia="仿宋" w:cs="仿宋"/>
          <w:b w:val="0"/>
          <w:bCs w:val="0"/>
          <w:color w:val="auto"/>
          <w:sz w:val="32"/>
          <w:szCs w:val="32"/>
          <w:u w:val="none"/>
        </w:rPr>
        <w:t>招生简章进行宣传，严禁中介参与招生，严禁违规承诺，严把招生入口关，做到招生工作良性循环，确保学校可持续发展。2021年的招生宣传除政策把控外，精心筛选招生宣传渠道，达到最优成本效应。如：为做好形象宣传，根据新形势和新情况的要求制作了电视专题片；选择以网络广告为主，通过电视字幕、市内及</w:t>
      </w:r>
      <w:r>
        <w:rPr>
          <w:rFonts w:hint="eastAsia" w:ascii="仿宋" w:hAnsi="仿宋" w:eastAsia="仿宋" w:cs="仿宋"/>
          <w:b w:val="0"/>
          <w:bCs w:val="0"/>
          <w:color w:val="auto"/>
          <w:sz w:val="32"/>
          <w:szCs w:val="32"/>
          <w:u w:val="none"/>
          <w:lang w:val="en-US" w:eastAsia="zh-CN"/>
        </w:rPr>
        <w:t>学</w:t>
      </w:r>
      <w:r>
        <w:rPr>
          <w:rFonts w:hint="eastAsia" w:ascii="仿宋" w:hAnsi="仿宋" w:eastAsia="仿宋" w:cs="仿宋"/>
          <w:b w:val="0"/>
          <w:bCs w:val="0"/>
          <w:color w:val="auto"/>
          <w:sz w:val="32"/>
          <w:szCs w:val="32"/>
          <w:u w:val="none"/>
        </w:rPr>
        <w:t>校门户网站、微信及公众号、抖音、短信编制等方法进行重点推送；根据信息阅读习惯不断改变平面广告形式，公交车内张贴广告；采取“以生带生”的形式，利用开大现有在校学员、培训班学员等生源广泛宣传。另外，结合招生专业，派专人深入单位、行业系统、部门、个人定向宣传，对符合入学条件的人员进行排摸、逐个宣传登记，把宣传工作做到单位、家庭、个人点面宣传结合，形成立体的、全方位的宣传层次和招生效应，推动招生工作。同时学校一直将宣传经费纳入全年预决算，资金得到了充分保障。</w:t>
      </w:r>
    </w:p>
    <w:p>
      <w:pPr>
        <w:keepNext w:val="0"/>
        <w:keepLines w:val="0"/>
        <w:pageBreakBefore w:val="0"/>
        <w:numPr>
          <w:ilvl w:val="0"/>
          <w:numId w:val="0"/>
        </w:numPr>
        <w:kinsoku/>
        <w:wordWrap/>
        <w:overflowPunct/>
        <w:topLinePunct w:val="0"/>
        <w:autoSpaceDE/>
        <w:autoSpaceDN/>
        <w:bidi w:val="0"/>
        <w:spacing w:line="500" w:lineRule="exact"/>
        <w:ind w:firstLine="640" w:firstLineChars="200"/>
        <w:jc w:val="both"/>
        <w:outlineLvl w:val="2"/>
        <w:rPr>
          <w:rFonts w:hint="eastAsia" w:ascii="仿宋" w:hAnsi="仿宋" w:eastAsia="仿宋" w:cs="仿宋"/>
          <w:b w:val="0"/>
          <w:bCs w:val="0"/>
          <w:color w:val="auto"/>
          <w:sz w:val="32"/>
          <w:szCs w:val="32"/>
          <w:u w:val="none"/>
        </w:rPr>
      </w:pPr>
      <w:r>
        <w:rPr>
          <w:rFonts w:hint="eastAsia" w:ascii="仿宋" w:hAnsi="仿宋" w:eastAsia="仿宋" w:cs="仿宋"/>
          <w:b w:val="0"/>
          <w:bCs w:val="0"/>
          <w:color w:val="auto"/>
          <w:sz w:val="32"/>
          <w:szCs w:val="32"/>
          <w:u w:val="none"/>
          <w:lang w:val="en-US" w:eastAsia="zh-CN"/>
        </w:rPr>
        <w:t>3.</w:t>
      </w:r>
      <w:r>
        <w:rPr>
          <w:rFonts w:hint="eastAsia" w:ascii="仿宋" w:hAnsi="仿宋" w:eastAsia="仿宋" w:cs="仿宋"/>
          <w:b w:val="0"/>
          <w:bCs w:val="0"/>
          <w:color w:val="auto"/>
          <w:sz w:val="32"/>
          <w:szCs w:val="32"/>
          <w:u w:val="none"/>
        </w:rPr>
        <w:t>信息化和教学资源建设</w:t>
      </w:r>
    </w:p>
    <w:p>
      <w:pPr>
        <w:keepNext w:val="0"/>
        <w:keepLines w:val="0"/>
        <w:pageBreakBefore w:val="0"/>
        <w:widowControl/>
        <w:kinsoku/>
        <w:wordWrap/>
        <w:overflowPunct/>
        <w:topLinePunct w:val="0"/>
        <w:autoSpaceDE/>
        <w:autoSpaceDN/>
        <w:bidi w:val="0"/>
        <w:spacing w:line="500" w:lineRule="exact"/>
        <w:ind w:firstLine="640" w:firstLineChars="200"/>
        <w:jc w:val="both"/>
        <w:rPr>
          <w:rFonts w:hint="eastAsia" w:ascii="仿宋" w:hAnsi="仿宋" w:eastAsia="仿宋" w:cs="仿宋"/>
          <w:b w:val="0"/>
          <w:bCs w:val="0"/>
          <w:color w:val="auto"/>
          <w:sz w:val="32"/>
          <w:szCs w:val="32"/>
          <w:u w:val="none"/>
        </w:rPr>
      </w:pPr>
      <w:r>
        <w:rPr>
          <w:rFonts w:hint="eastAsia" w:ascii="仿宋" w:hAnsi="仿宋" w:eastAsia="仿宋" w:cs="仿宋"/>
          <w:b w:val="0"/>
          <w:bCs w:val="0"/>
          <w:color w:val="auto"/>
          <w:sz w:val="32"/>
          <w:szCs w:val="32"/>
          <w:u w:val="none"/>
        </w:rPr>
        <w:t>学校采用华为全套总控制中心设备，使用双链路双备份结构，华为防火墙USG6625E二台，上网行为管理服务器华为ASG5520二台，超融合服务器华为FusionCube四台，网络管理软件一套，认证平台一套，核心交换机华为S12708e二台。学校共配备一体机12台，主干网到各栋楼全部敷设千兆光缆，学校无线网络全覆盖，校园网出口带宽达500M。</w:t>
      </w:r>
    </w:p>
    <w:p>
      <w:pPr>
        <w:keepNext w:val="0"/>
        <w:keepLines w:val="0"/>
        <w:pageBreakBefore w:val="0"/>
        <w:widowControl/>
        <w:kinsoku/>
        <w:wordWrap/>
        <w:overflowPunct/>
        <w:topLinePunct w:val="0"/>
        <w:autoSpaceDE/>
        <w:autoSpaceDN/>
        <w:bidi w:val="0"/>
        <w:spacing w:line="500" w:lineRule="exact"/>
        <w:ind w:firstLine="640" w:firstLineChars="200"/>
        <w:jc w:val="both"/>
        <w:rPr>
          <w:rFonts w:hint="eastAsia" w:ascii="仿宋" w:hAnsi="仿宋" w:eastAsia="仿宋" w:cs="仿宋"/>
          <w:b w:val="0"/>
          <w:bCs w:val="0"/>
          <w:color w:val="auto"/>
          <w:sz w:val="32"/>
          <w:szCs w:val="32"/>
          <w:u w:val="none"/>
        </w:rPr>
      </w:pPr>
      <w:r>
        <w:rPr>
          <w:rFonts w:hint="eastAsia" w:ascii="仿宋" w:hAnsi="仿宋" w:eastAsia="仿宋" w:cs="仿宋"/>
          <w:b w:val="0"/>
          <w:bCs w:val="0"/>
          <w:color w:val="auto"/>
          <w:sz w:val="32"/>
          <w:szCs w:val="32"/>
          <w:u w:val="none"/>
        </w:rPr>
        <w:t>学校建有四个网络机房和一个能容纳100余人的多功能报告厅，有全市一流的普通话标准测试站，肩负全市普通话考试的重任。有一个100座中心机房，60台联想带256G固态硬盘</w:t>
      </w:r>
      <w:r>
        <w:rPr>
          <w:rFonts w:hint="eastAsia" w:ascii="仿宋" w:hAnsi="仿宋" w:eastAsia="仿宋" w:cs="仿宋"/>
          <w:b w:val="0"/>
          <w:bCs w:val="0"/>
          <w:color w:val="auto"/>
          <w:sz w:val="32"/>
          <w:szCs w:val="32"/>
          <w:u w:val="none"/>
          <w:lang w:val="en-US" w:eastAsia="zh-CN"/>
        </w:rPr>
        <w:t>+</w:t>
      </w:r>
      <w:r>
        <w:rPr>
          <w:rFonts w:hint="eastAsia" w:ascii="仿宋" w:hAnsi="仿宋" w:eastAsia="仿宋" w:cs="仿宋"/>
          <w:b w:val="0"/>
          <w:bCs w:val="0"/>
          <w:color w:val="auto"/>
          <w:sz w:val="32"/>
          <w:szCs w:val="32"/>
          <w:u w:val="none"/>
        </w:rPr>
        <w:t>1T的机械硬盘</w:t>
      </w:r>
      <w:r>
        <w:rPr>
          <w:rFonts w:hint="eastAsia" w:ascii="仿宋" w:hAnsi="仿宋" w:eastAsia="仿宋" w:cs="仿宋"/>
          <w:b w:val="0"/>
          <w:bCs w:val="0"/>
          <w:color w:val="auto"/>
          <w:sz w:val="32"/>
          <w:szCs w:val="32"/>
          <w:u w:val="none"/>
          <w:lang w:val="en-US" w:eastAsia="zh-CN"/>
        </w:rPr>
        <w:t>+</w:t>
      </w:r>
      <w:r>
        <w:rPr>
          <w:rFonts w:hint="eastAsia" w:ascii="仿宋" w:hAnsi="仿宋" w:eastAsia="仿宋" w:cs="仿宋"/>
          <w:b w:val="0"/>
          <w:bCs w:val="0"/>
          <w:color w:val="auto"/>
          <w:sz w:val="32"/>
          <w:szCs w:val="32"/>
          <w:u w:val="none"/>
        </w:rPr>
        <w:t>I5-9500cpu</w:t>
      </w:r>
      <w:r>
        <w:rPr>
          <w:rFonts w:hint="eastAsia" w:ascii="仿宋" w:hAnsi="仿宋" w:eastAsia="仿宋" w:cs="仿宋"/>
          <w:b w:val="0"/>
          <w:bCs w:val="0"/>
          <w:color w:val="auto"/>
          <w:sz w:val="32"/>
          <w:szCs w:val="32"/>
          <w:u w:val="none"/>
          <w:lang w:val="en-US" w:eastAsia="zh-CN"/>
        </w:rPr>
        <w:t>+</w:t>
      </w:r>
      <w:r>
        <w:rPr>
          <w:rFonts w:hint="eastAsia" w:ascii="仿宋" w:hAnsi="仿宋" w:eastAsia="仿宋" w:cs="仿宋"/>
          <w:b w:val="0"/>
          <w:bCs w:val="0"/>
          <w:color w:val="auto"/>
          <w:sz w:val="32"/>
          <w:szCs w:val="32"/>
          <w:u w:val="none"/>
        </w:rPr>
        <w:t>安装WIN10操作系统及应用软件，40台宏基I5-7400</w:t>
      </w:r>
      <w:r>
        <w:rPr>
          <w:rFonts w:hint="eastAsia" w:ascii="仿宋" w:hAnsi="仿宋" w:eastAsia="仿宋" w:cs="仿宋"/>
          <w:b w:val="0"/>
          <w:bCs w:val="0"/>
          <w:color w:val="auto"/>
          <w:sz w:val="32"/>
          <w:szCs w:val="32"/>
          <w:u w:val="none"/>
          <w:lang w:val="en-US" w:eastAsia="zh-CN"/>
        </w:rPr>
        <w:t>cpu+</w:t>
      </w:r>
      <w:r>
        <w:rPr>
          <w:rFonts w:hint="eastAsia" w:ascii="仿宋" w:hAnsi="仿宋" w:eastAsia="仿宋" w:cs="仿宋"/>
          <w:b w:val="0"/>
          <w:bCs w:val="0"/>
          <w:color w:val="auto"/>
          <w:sz w:val="32"/>
          <w:szCs w:val="32"/>
          <w:u w:val="none"/>
        </w:rPr>
        <w:t>8G内存</w:t>
      </w:r>
      <w:r>
        <w:rPr>
          <w:rFonts w:hint="eastAsia" w:ascii="仿宋" w:hAnsi="仿宋" w:eastAsia="仿宋" w:cs="仿宋"/>
          <w:b w:val="0"/>
          <w:bCs w:val="0"/>
          <w:color w:val="auto"/>
          <w:sz w:val="32"/>
          <w:szCs w:val="32"/>
          <w:u w:val="none"/>
          <w:lang w:val="en-US" w:eastAsia="zh-CN"/>
        </w:rPr>
        <w:t>+</w:t>
      </w:r>
      <w:r>
        <w:rPr>
          <w:rFonts w:hint="eastAsia" w:ascii="仿宋" w:hAnsi="仿宋" w:eastAsia="仿宋" w:cs="仿宋"/>
          <w:b w:val="0"/>
          <w:bCs w:val="0"/>
          <w:color w:val="auto"/>
          <w:sz w:val="32"/>
          <w:szCs w:val="32"/>
          <w:u w:val="none"/>
        </w:rPr>
        <w:t>120G固态硬盘，希沃86寸智慧黑板一体机；一个60座机房，采用联想带256G固态硬盘</w:t>
      </w:r>
      <w:r>
        <w:rPr>
          <w:rFonts w:hint="eastAsia" w:ascii="仿宋" w:hAnsi="仿宋" w:eastAsia="仿宋" w:cs="仿宋"/>
          <w:b w:val="0"/>
          <w:bCs w:val="0"/>
          <w:color w:val="auto"/>
          <w:sz w:val="32"/>
          <w:szCs w:val="32"/>
          <w:u w:val="none"/>
          <w:lang w:val="en-US" w:eastAsia="zh-CN"/>
        </w:rPr>
        <w:t>+</w:t>
      </w:r>
      <w:r>
        <w:rPr>
          <w:rFonts w:hint="eastAsia" w:ascii="仿宋" w:hAnsi="仿宋" w:eastAsia="仿宋" w:cs="仿宋"/>
          <w:b w:val="0"/>
          <w:bCs w:val="0"/>
          <w:color w:val="auto"/>
          <w:sz w:val="32"/>
          <w:szCs w:val="32"/>
          <w:u w:val="none"/>
        </w:rPr>
        <w:t>1T的机械硬盘</w:t>
      </w:r>
      <w:r>
        <w:rPr>
          <w:rFonts w:hint="eastAsia" w:ascii="仿宋" w:hAnsi="仿宋" w:eastAsia="仿宋" w:cs="仿宋"/>
          <w:b w:val="0"/>
          <w:bCs w:val="0"/>
          <w:color w:val="auto"/>
          <w:sz w:val="32"/>
          <w:szCs w:val="32"/>
          <w:u w:val="none"/>
          <w:lang w:val="en-US" w:eastAsia="zh-CN"/>
        </w:rPr>
        <w:t>+</w:t>
      </w:r>
      <w:r>
        <w:rPr>
          <w:rFonts w:hint="eastAsia" w:ascii="仿宋" w:hAnsi="仿宋" w:eastAsia="仿宋" w:cs="仿宋"/>
          <w:b w:val="0"/>
          <w:bCs w:val="0"/>
          <w:color w:val="auto"/>
          <w:sz w:val="32"/>
          <w:szCs w:val="32"/>
          <w:u w:val="none"/>
        </w:rPr>
        <w:t>I5-9500cpu</w:t>
      </w:r>
      <w:r>
        <w:rPr>
          <w:rFonts w:hint="eastAsia" w:ascii="仿宋" w:hAnsi="仿宋" w:eastAsia="仿宋" w:cs="仿宋"/>
          <w:b w:val="0"/>
          <w:bCs w:val="0"/>
          <w:color w:val="auto"/>
          <w:sz w:val="32"/>
          <w:szCs w:val="32"/>
          <w:u w:val="none"/>
          <w:lang w:val="en-US" w:eastAsia="zh-CN"/>
        </w:rPr>
        <w:t>+</w:t>
      </w:r>
      <w:r>
        <w:rPr>
          <w:rFonts w:hint="eastAsia" w:ascii="仿宋" w:hAnsi="仿宋" w:eastAsia="仿宋" w:cs="仿宋"/>
          <w:b w:val="0"/>
          <w:bCs w:val="0"/>
          <w:color w:val="auto"/>
          <w:sz w:val="32"/>
          <w:szCs w:val="32"/>
          <w:u w:val="none"/>
        </w:rPr>
        <w:t>安装WIN10操作系统及应用软件，希沃86寸智慧黑板一体机；两个40座机房，76寸希沃教学一体机。2021年，投资200余万元用于校园基础设施改造、购置教学一体机、笔记本电脑、身份证识别仪等设备，目前各项信息化教学设施设备能全面保障学校教学、培训和考试的需求。</w:t>
      </w:r>
    </w:p>
    <w:p>
      <w:pPr>
        <w:keepNext w:val="0"/>
        <w:keepLines w:val="0"/>
        <w:pageBreakBefore w:val="0"/>
        <w:numPr>
          <w:ilvl w:val="0"/>
          <w:numId w:val="0"/>
        </w:numPr>
        <w:kinsoku/>
        <w:wordWrap/>
        <w:overflowPunct/>
        <w:topLinePunct w:val="0"/>
        <w:autoSpaceDE/>
        <w:autoSpaceDN/>
        <w:bidi w:val="0"/>
        <w:spacing w:line="500" w:lineRule="exact"/>
        <w:ind w:firstLine="640" w:firstLineChars="200"/>
        <w:jc w:val="both"/>
        <w:outlineLvl w:val="2"/>
        <w:rPr>
          <w:rFonts w:hint="eastAsia" w:ascii="仿宋" w:hAnsi="仿宋" w:eastAsia="仿宋" w:cs="仿宋"/>
          <w:b w:val="0"/>
          <w:bCs w:val="0"/>
          <w:color w:val="auto"/>
          <w:sz w:val="32"/>
          <w:szCs w:val="32"/>
          <w:u w:val="none"/>
        </w:rPr>
      </w:pPr>
      <w:r>
        <w:rPr>
          <w:rFonts w:hint="eastAsia" w:ascii="仿宋" w:hAnsi="仿宋" w:eastAsia="仿宋" w:cs="仿宋"/>
          <w:b w:val="0"/>
          <w:bCs w:val="0"/>
          <w:color w:val="auto"/>
          <w:sz w:val="32"/>
          <w:szCs w:val="32"/>
          <w:u w:val="none"/>
          <w:lang w:val="en-US" w:eastAsia="zh-CN"/>
        </w:rPr>
        <w:t>4.</w:t>
      </w:r>
      <w:r>
        <w:rPr>
          <w:rFonts w:hint="eastAsia" w:ascii="仿宋" w:hAnsi="仿宋" w:eastAsia="仿宋" w:cs="仿宋"/>
          <w:b w:val="0"/>
          <w:bCs w:val="0"/>
          <w:color w:val="auto"/>
          <w:sz w:val="32"/>
          <w:szCs w:val="32"/>
          <w:u w:val="none"/>
        </w:rPr>
        <w:t>学习支持服务和教学过程</w:t>
      </w:r>
    </w:p>
    <w:p>
      <w:pPr>
        <w:pStyle w:val="2"/>
        <w:keepNext w:val="0"/>
        <w:keepLines w:val="0"/>
        <w:pageBreakBefore w:val="0"/>
        <w:kinsoku/>
        <w:wordWrap/>
        <w:overflowPunct/>
        <w:topLinePunct w:val="0"/>
        <w:autoSpaceDE/>
        <w:autoSpaceDN/>
        <w:bidi w:val="0"/>
        <w:spacing w:after="0" w:line="500" w:lineRule="exact"/>
        <w:ind w:firstLine="640" w:firstLineChars="200"/>
        <w:jc w:val="both"/>
        <w:rPr>
          <w:rFonts w:hint="eastAsia" w:ascii="仿宋" w:hAnsi="仿宋" w:eastAsia="仿宋" w:cs="仿宋"/>
          <w:b w:val="0"/>
          <w:bCs w:val="0"/>
          <w:color w:val="auto"/>
          <w:kern w:val="0"/>
          <w:sz w:val="32"/>
          <w:szCs w:val="32"/>
          <w:u w:val="none"/>
        </w:rPr>
      </w:pPr>
      <w:r>
        <w:rPr>
          <w:rFonts w:hint="eastAsia" w:ascii="仿宋" w:hAnsi="仿宋" w:eastAsia="仿宋" w:cs="仿宋"/>
          <w:b w:val="0"/>
          <w:bCs w:val="0"/>
          <w:color w:val="auto"/>
          <w:sz w:val="32"/>
          <w:szCs w:val="32"/>
          <w:u w:val="none"/>
        </w:rPr>
        <w:t>不断探索课程教学新模式，采取面授教学、网上教学、实践教学和自主学习“四结合”的教学模式开展教学。一是完善管理制度。完善了《关于进一步加强教学管理的试行办法》等制度，对班级教学情况做到及时通报，并把结果纳入月考核进行奖惩，各教学团队配合实行分级听课，进一步推动线上、线下教学质量的提升，进一步完善网上学习管理制度，抓好网上学习过程的通报和考核；二是创新技能培训。2021年，</w:t>
      </w:r>
      <w:r>
        <w:rPr>
          <w:rFonts w:hint="eastAsia" w:ascii="仿宋" w:hAnsi="仿宋" w:eastAsia="仿宋" w:cs="仿宋"/>
          <w:b w:val="0"/>
          <w:bCs w:val="0"/>
          <w:color w:val="auto"/>
          <w:sz w:val="32"/>
          <w:szCs w:val="32"/>
          <w:u w:val="none"/>
          <w:lang w:val="en-US" w:eastAsia="zh-CN"/>
        </w:rPr>
        <w:t>学</w:t>
      </w:r>
      <w:r>
        <w:rPr>
          <w:rFonts w:hint="eastAsia" w:ascii="仿宋" w:hAnsi="仿宋" w:eastAsia="仿宋" w:cs="仿宋"/>
          <w:b w:val="0"/>
          <w:bCs w:val="0"/>
          <w:color w:val="auto"/>
          <w:sz w:val="32"/>
          <w:szCs w:val="32"/>
          <w:u w:val="none"/>
        </w:rPr>
        <w:t>校</w:t>
      </w:r>
      <w:r>
        <w:rPr>
          <w:rFonts w:hint="eastAsia" w:ascii="仿宋" w:hAnsi="仿宋" w:eastAsia="仿宋" w:cs="仿宋"/>
          <w:b w:val="0"/>
          <w:bCs w:val="0"/>
          <w:color w:val="auto"/>
          <w:sz w:val="32"/>
          <w:szCs w:val="32"/>
          <w:u w:val="none"/>
          <w:lang w:eastAsia="zh-CN"/>
        </w:rPr>
        <w:t>在计算机、会计等专业中试点职业技能实践教学</w:t>
      </w:r>
      <w:r>
        <w:rPr>
          <w:rFonts w:hint="eastAsia" w:ascii="仿宋" w:hAnsi="仿宋" w:eastAsia="仿宋" w:cs="仿宋"/>
          <w:b w:val="0"/>
          <w:bCs w:val="0"/>
          <w:color w:val="auto"/>
          <w:sz w:val="32"/>
          <w:szCs w:val="32"/>
          <w:u w:val="none"/>
        </w:rPr>
        <w:t>，得到学生高度认可，为职教融合进行了有益的探索；组织开放教育、高职教育学生赴青山镇乌石印象生态园等地进行现场教学活动，赴卢德铭烈士纪念馆等地开展党史学习教育实践活动共计10余次；三是紧盯教学质量。通过推门听课、评课等一系列措施加强教学督导；对新招聘的教师和班主任进行了岗前培训，组织各级各类培训达80余次，开展听课周活动，营造良好教研氛围。</w:t>
      </w:r>
    </w:p>
    <w:p>
      <w:pPr>
        <w:pStyle w:val="16"/>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center"/>
        <w:rPr>
          <w:rFonts w:hint="eastAsia" w:ascii="仿宋" w:hAnsi="仿宋" w:eastAsia="仿宋" w:cs="仿宋"/>
          <w:b w:val="0"/>
          <w:bCs w:val="0"/>
          <w:color w:val="auto"/>
          <w:kern w:val="0"/>
          <w:sz w:val="28"/>
          <w:szCs w:val="28"/>
          <w:u w:val="none"/>
        </w:rPr>
      </w:pPr>
      <w:r>
        <w:rPr>
          <w:rFonts w:hint="eastAsia" w:ascii="仿宋" w:hAnsi="仿宋" w:eastAsia="仿宋" w:cs="仿宋"/>
          <w:b w:val="0"/>
          <w:bCs w:val="0"/>
          <w:color w:val="auto"/>
          <w:kern w:val="0"/>
          <w:sz w:val="28"/>
          <w:szCs w:val="28"/>
          <w:u w:val="none"/>
        </w:rPr>
        <w:t>表2-4-4-1</w:t>
      </w:r>
      <w:r>
        <w:rPr>
          <w:rFonts w:hint="eastAsia" w:ascii="仿宋" w:hAnsi="仿宋" w:eastAsia="仿宋" w:cs="仿宋"/>
          <w:b w:val="0"/>
          <w:bCs w:val="0"/>
          <w:color w:val="auto"/>
          <w:sz w:val="28"/>
          <w:szCs w:val="28"/>
          <w:u w:val="none"/>
        </w:rPr>
        <w:t xml:space="preserve"> 2021</w:t>
      </w:r>
      <w:r>
        <w:rPr>
          <w:rFonts w:hint="eastAsia" w:ascii="仿宋" w:hAnsi="仿宋" w:eastAsia="仿宋" w:cs="仿宋"/>
          <w:b w:val="0"/>
          <w:bCs w:val="0"/>
          <w:color w:val="auto"/>
          <w:kern w:val="0"/>
          <w:sz w:val="28"/>
          <w:szCs w:val="28"/>
          <w:u w:val="none"/>
        </w:rPr>
        <w:t>年度国开学习网教学基本情况</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4"/>
        <w:gridCol w:w="1446"/>
        <w:gridCol w:w="1372"/>
        <w:gridCol w:w="1252"/>
        <w:gridCol w:w="2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2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学期</w:t>
            </w:r>
          </w:p>
        </w:tc>
        <w:tc>
          <w:tcPr>
            <w:tcW w:w="79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生师比</w:t>
            </w:r>
          </w:p>
        </w:tc>
        <w:tc>
          <w:tcPr>
            <w:tcW w:w="75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上线学生比例</w:t>
            </w:r>
          </w:p>
        </w:tc>
        <w:tc>
          <w:tcPr>
            <w:tcW w:w="69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上线教师比例</w:t>
            </w:r>
          </w:p>
        </w:tc>
        <w:tc>
          <w:tcPr>
            <w:tcW w:w="162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网络课程班级辅导教师配置率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2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春季</w:t>
            </w:r>
          </w:p>
        </w:tc>
        <w:tc>
          <w:tcPr>
            <w:tcW w:w="79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59.92</w:t>
            </w:r>
          </w:p>
        </w:tc>
        <w:tc>
          <w:tcPr>
            <w:tcW w:w="75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104.59</w:t>
            </w:r>
          </w:p>
        </w:tc>
        <w:tc>
          <w:tcPr>
            <w:tcW w:w="69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99.51</w:t>
            </w:r>
          </w:p>
        </w:tc>
        <w:tc>
          <w:tcPr>
            <w:tcW w:w="162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22"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全省排名</w:t>
            </w:r>
          </w:p>
        </w:tc>
        <w:tc>
          <w:tcPr>
            <w:tcW w:w="798"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5</w:t>
            </w:r>
          </w:p>
        </w:tc>
        <w:tc>
          <w:tcPr>
            <w:tcW w:w="757"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1（并列）</w:t>
            </w:r>
          </w:p>
        </w:tc>
        <w:tc>
          <w:tcPr>
            <w:tcW w:w="691"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1</w:t>
            </w:r>
          </w:p>
        </w:tc>
        <w:tc>
          <w:tcPr>
            <w:tcW w:w="1629"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2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秋季</w:t>
            </w:r>
          </w:p>
        </w:tc>
        <w:tc>
          <w:tcPr>
            <w:tcW w:w="798"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54.06</w:t>
            </w:r>
          </w:p>
        </w:tc>
        <w:tc>
          <w:tcPr>
            <w:tcW w:w="75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101</w:t>
            </w:r>
          </w:p>
        </w:tc>
        <w:tc>
          <w:tcPr>
            <w:tcW w:w="69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99.1</w:t>
            </w:r>
          </w:p>
        </w:tc>
        <w:tc>
          <w:tcPr>
            <w:tcW w:w="162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22"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全省排名</w:t>
            </w:r>
          </w:p>
        </w:tc>
        <w:tc>
          <w:tcPr>
            <w:tcW w:w="798"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4</w:t>
            </w:r>
          </w:p>
        </w:tc>
        <w:tc>
          <w:tcPr>
            <w:tcW w:w="757"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1（并列）</w:t>
            </w:r>
          </w:p>
        </w:tc>
        <w:tc>
          <w:tcPr>
            <w:tcW w:w="691"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2</w:t>
            </w:r>
          </w:p>
        </w:tc>
        <w:tc>
          <w:tcPr>
            <w:tcW w:w="1629"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1</w:t>
            </w:r>
          </w:p>
        </w:tc>
      </w:tr>
    </w:tbl>
    <w:p>
      <w:pPr>
        <w:pStyle w:val="16"/>
        <w:keepNext w:val="0"/>
        <w:keepLines w:val="0"/>
        <w:pageBreakBefore w:val="0"/>
        <w:widowControl/>
        <w:kinsoku/>
        <w:wordWrap/>
        <w:overflowPunct/>
        <w:topLinePunct w:val="0"/>
        <w:autoSpaceDE/>
        <w:autoSpaceDN/>
        <w:bidi w:val="0"/>
        <w:adjustRightInd w:val="0"/>
        <w:snapToGrid w:val="0"/>
        <w:spacing w:line="100" w:lineRule="exact"/>
        <w:ind w:firstLine="0" w:firstLineChars="0"/>
        <w:textAlignment w:val="center"/>
        <w:rPr>
          <w:rFonts w:hint="eastAsia" w:ascii="仿宋" w:hAnsi="仿宋" w:eastAsia="仿宋" w:cs="仿宋"/>
          <w:b w:val="0"/>
          <w:bCs w:val="0"/>
          <w:color w:val="auto"/>
          <w:kern w:val="0"/>
          <w:sz w:val="28"/>
          <w:szCs w:val="28"/>
          <w:u w:val="none"/>
        </w:rPr>
      </w:pPr>
    </w:p>
    <w:p>
      <w:pPr>
        <w:pStyle w:val="16"/>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center"/>
        <w:rPr>
          <w:rFonts w:hint="eastAsia" w:ascii="仿宋" w:hAnsi="仿宋" w:eastAsia="仿宋" w:cs="仿宋"/>
          <w:b w:val="0"/>
          <w:bCs w:val="0"/>
          <w:color w:val="auto"/>
          <w:kern w:val="0"/>
          <w:sz w:val="28"/>
          <w:szCs w:val="28"/>
          <w:u w:val="none"/>
        </w:rPr>
      </w:pPr>
      <w:r>
        <w:rPr>
          <w:rFonts w:hint="eastAsia" w:ascii="仿宋" w:hAnsi="仿宋" w:eastAsia="仿宋" w:cs="仿宋"/>
          <w:b w:val="0"/>
          <w:bCs w:val="0"/>
          <w:color w:val="auto"/>
          <w:kern w:val="0"/>
          <w:sz w:val="28"/>
          <w:szCs w:val="28"/>
          <w:u w:val="none"/>
        </w:rPr>
        <w:t>2-4-4-2</w:t>
      </w:r>
      <w:r>
        <w:rPr>
          <w:rFonts w:hint="eastAsia" w:ascii="仿宋" w:hAnsi="仿宋" w:eastAsia="仿宋" w:cs="仿宋"/>
          <w:b w:val="0"/>
          <w:bCs w:val="0"/>
          <w:color w:val="auto"/>
          <w:sz w:val="28"/>
          <w:szCs w:val="28"/>
          <w:u w:val="none"/>
        </w:rPr>
        <w:t xml:space="preserve"> 2021</w:t>
      </w:r>
      <w:r>
        <w:rPr>
          <w:rFonts w:hint="eastAsia" w:ascii="仿宋" w:hAnsi="仿宋" w:eastAsia="仿宋" w:cs="仿宋"/>
          <w:b w:val="0"/>
          <w:bCs w:val="0"/>
          <w:color w:val="auto"/>
          <w:kern w:val="0"/>
          <w:sz w:val="28"/>
          <w:szCs w:val="28"/>
          <w:u w:val="none"/>
        </w:rPr>
        <w:t>年度国开学习网教学支持服务情况</w:t>
      </w:r>
    </w:p>
    <w:tbl>
      <w:tblPr>
        <w:tblStyle w:val="10"/>
        <w:tblW w:w="4997" w:type="pct"/>
        <w:jc w:val="center"/>
        <w:tblLayout w:type="autofit"/>
        <w:tblCellMar>
          <w:top w:w="0" w:type="dxa"/>
          <w:left w:w="0" w:type="dxa"/>
          <w:bottom w:w="0" w:type="dxa"/>
          <w:right w:w="0" w:type="dxa"/>
        </w:tblCellMar>
      </w:tblPr>
      <w:tblGrid>
        <w:gridCol w:w="1329"/>
        <w:gridCol w:w="1301"/>
        <w:gridCol w:w="1175"/>
        <w:gridCol w:w="1223"/>
        <w:gridCol w:w="1235"/>
        <w:gridCol w:w="1104"/>
        <w:gridCol w:w="1503"/>
      </w:tblGrid>
      <w:tr>
        <w:tblPrEx>
          <w:tblCellMar>
            <w:top w:w="0" w:type="dxa"/>
            <w:left w:w="0" w:type="dxa"/>
            <w:bottom w:w="0" w:type="dxa"/>
            <w:right w:w="0" w:type="dxa"/>
          </w:tblCellMar>
        </w:tblPrEx>
        <w:trPr>
          <w:trHeight w:val="340" w:hRule="atLeast"/>
          <w:jc w:val="center"/>
        </w:trPr>
        <w:tc>
          <w:tcPr>
            <w:tcW w:w="7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学期</w:t>
            </w:r>
          </w:p>
        </w:tc>
        <w:tc>
          <w:tcPr>
            <w:tcW w:w="73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学生行</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为总数</w:t>
            </w:r>
          </w:p>
        </w:tc>
        <w:tc>
          <w:tcPr>
            <w:tcW w:w="66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学生在</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线天数</w:t>
            </w:r>
          </w:p>
        </w:tc>
        <w:tc>
          <w:tcPr>
            <w:tcW w:w="689"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学生人均在线行为次数</w:t>
            </w:r>
          </w:p>
        </w:tc>
        <w:tc>
          <w:tcPr>
            <w:tcW w:w="69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教师行</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为总数</w:t>
            </w:r>
          </w:p>
        </w:tc>
        <w:tc>
          <w:tcPr>
            <w:tcW w:w="622"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教师在</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线天数</w:t>
            </w:r>
          </w:p>
        </w:tc>
        <w:tc>
          <w:tcPr>
            <w:tcW w:w="84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教师人均在线行为次数</w:t>
            </w:r>
          </w:p>
        </w:tc>
      </w:tr>
      <w:tr>
        <w:tblPrEx>
          <w:tblCellMar>
            <w:top w:w="0" w:type="dxa"/>
            <w:left w:w="0" w:type="dxa"/>
            <w:bottom w:w="0" w:type="dxa"/>
            <w:right w:w="0" w:type="dxa"/>
          </w:tblCellMar>
        </w:tblPrEx>
        <w:trPr>
          <w:trHeight w:val="340" w:hRule="atLeast"/>
          <w:jc w:val="center"/>
        </w:trPr>
        <w:tc>
          <w:tcPr>
            <w:tcW w:w="7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春季</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14575249</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93513</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1768.2</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1128853</w:t>
            </w:r>
          </w:p>
        </w:tc>
        <w:tc>
          <w:tcPr>
            <w:tcW w:w="6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13069</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5588.38</w:t>
            </w:r>
          </w:p>
        </w:tc>
      </w:tr>
      <w:tr>
        <w:tblPrEx>
          <w:tblCellMar>
            <w:top w:w="0" w:type="dxa"/>
            <w:left w:w="0" w:type="dxa"/>
            <w:bottom w:w="0" w:type="dxa"/>
            <w:right w:w="0" w:type="dxa"/>
          </w:tblCellMar>
        </w:tblPrEx>
        <w:trPr>
          <w:trHeight w:val="340" w:hRule="atLeast"/>
          <w:jc w:val="center"/>
        </w:trPr>
        <w:tc>
          <w:tcPr>
            <w:tcW w:w="749"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全省排名</w:t>
            </w:r>
          </w:p>
        </w:tc>
        <w:tc>
          <w:tcPr>
            <w:tcW w:w="733"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4</w:t>
            </w:r>
          </w:p>
        </w:tc>
        <w:tc>
          <w:tcPr>
            <w:tcW w:w="662"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4</w:t>
            </w:r>
          </w:p>
        </w:tc>
        <w:tc>
          <w:tcPr>
            <w:tcW w:w="689"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5</w:t>
            </w:r>
          </w:p>
        </w:tc>
        <w:tc>
          <w:tcPr>
            <w:tcW w:w="696"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2</w:t>
            </w:r>
          </w:p>
        </w:tc>
        <w:tc>
          <w:tcPr>
            <w:tcW w:w="622"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2</w:t>
            </w:r>
          </w:p>
        </w:tc>
        <w:tc>
          <w:tcPr>
            <w:tcW w:w="846"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2</w:t>
            </w:r>
          </w:p>
        </w:tc>
      </w:tr>
      <w:tr>
        <w:tblPrEx>
          <w:tblCellMar>
            <w:top w:w="0" w:type="dxa"/>
            <w:left w:w="0" w:type="dxa"/>
            <w:bottom w:w="0" w:type="dxa"/>
            <w:right w:w="0" w:type="dxa"/>
          </w:tblCellMar>
        </w:tblPrEx>
        <w:trPr>
          <w:trHeight w:val="340" w:hRule="atLeast"/>
          <w:jc w:val="center"/>
        </w:trPr>
        <w:tc>
          <w:tcPr>
            <w:tcW w:w="7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秋季</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13616971</w:t>
            </w: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87913</w:t>
            </w: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1782.56</w:t>
            </w: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664307</w:t>
            </w:r>
          </w:p>
        </w:tc>
        <w:tc>
          <w:tcPr>
            <w:tcW w:w="6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14281</w:t>
            </w: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3005.91</w:t>
            </w:r>
          </w:p>
        </w:tc>
      </w:tr>
      <w:tr>
        <w:tblPrEx>
          <w:tblCellMar>
            <w:top w:w="0" w:type="dxa"/>
            <w:left w:w="0" w:type="dxa"/>
            <w:bottom w:w="0" w:type="dxa"/>
            <w:right w:w="0" w:type="dxa"/>
          </w:tblCellMar>
        </w:tblPrEx>
        <w:trPr>
          <w:trHeight w:val="340" w:hRule="atLeast"/>
          <w:jc w:val="center"/>
        </w:trPr>
        <w:tc>
          <w:tcPr>
            <w:tcW w:w="749"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全省排名</w:t>
            </w:r>
          </w:p>
        </w:tc>
        <w:tc>
          <w:tcPr>
            <w:tcW w:w="733"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5</w:t>
            </w:r>
          </w:p>
        </w:tc>
        <w:tc>
          <w:tcPr>
            <w:tcW w:w="662"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5</w:t>
            </w:r>
          </w:p>
        </w:tc>
        <w:tc>
          <w:tcPr>
            <w:tcW w:w="689"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5</w:t>
            </w:r>
          </w:p>
        </w:tc>
        <w:tc>
          <w:tcPr>
            <w:tcW w:w="696"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3</w:t>
            </w:r>
          </w:p>
        </w:tc>
        <w:tc>
          <w:tcPr>
            <w:tcW w:w="622"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2</w:t>
            </w:r>
          </w:p>
        </w:tc>
        <w:tc>
          <w:tcPr>
            <w:tcW w:w="846"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6</w:t>
            </w:r>
          </w:p>
        </w:tc>
      </w:tr>
    </w:tbl>
    <w:p>
      <w:pPr>
        <w:pStyle w:val="16"/>
        <w:keepNext w:val="0"/>
        <w:keepLines w:val="0"/>
        <w:pageBreakBefore w:val="0"/>
        <w:widowControl/>
        <w:kinsoku/>
        <w:wordWrap/>
        <w:overflowPunct/>
        <w:topLinePunct w:val="0"/>
        <w:autoSpaceDE/>
        <w:autoSpaceDN/>
        <w:bidi w:val="0"/>
        <w:adjustRightInd w:val="0"/>
        <w:snapToGrid w:val="0"/>
        <w:spacing w:line="100" w:lineRule="exact"/>
        <w:ind w:firstLine="0" w:firstLineChars="0"/>
        <w:jc w:val="both"/>
        <w:textAlignment w:val="center"/>
        <w:rPr>
          <w:rFonts w:hint="eastAsia" w:ascii="仿宋" w:hAnsi="仿宋" w:eastAsia="仿宋" w:cs="仿宋"/>
          <w:b w:val="0"/>
          <w:bCs w:val="0"/>
          <w:color w:val="auto"/>
          <w:kern w:val="0"/>
          <w:sz w:val="28"/>
          <w:szCs w:val="28"/>
          <w:u w:val="none"/>
        </w:rPr>
      </w:pPr>
    </w:p>
    <w:p>
      <w:pPr>
        <w:pStyle w:val="16"/>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center"/>
        <w:rPr>
          <w:rFonts w:hint="eastAsia" w:ascii="仿宋" w:hAnsi="仿宋" w:eastAsia="仿宋" w:cs="仿宋"/>
          <w:b w:val="0"/>
          <w:bCs w:val="0"/>
          <w:color w:val="auto"/>
          <w:kern w:val="0"/>
          <w:sz w:val="28"/>
          <w:szCs w:val="28"/>
          <w:u w:val="none"/>
        </w:rPr>
      </w:pPr>
      <w:r>
        <w:rPr>
          <w:rFonts w:hint="eastAsia" w:ascii="仿宋" w:hAnsi="仿宋" w:eastAsia="仿宋" w:cs="仿宋"/>
          <w:b w:val="0"/>
          <w:bCs w:val="0"/>
          <w:color w:val="auto"/>
          <w:kern w:val="0"/>
          <w:sz w:val="28"/>
          <w:szCs w:val="28"/>
          <w:u w:val="none"/>
        </w:rPr>
        <w:t>表2-4-4-3</w:t>
      </w:r>
      <w:r>
        <w:rPr>
          <w:rFonts w:hint="eastAsia" w:ascii="仿宋" w:hAnsi="仿宋" w:eastAsia="仿宋" w:cs="仿宋"/>
          <w:b w:val="0"/>
          <w:bCs w:val="0"/>
          <w:color w:val="auto"/>
          <w:sz w:val="28"/>
          <w:szCs w:val="28"/>
          <w:u w:val="none"/>
        </w:rPr>
        <w:t xml:space="preserve"> 2021</w:t>
      </w:r>
      <w:r>
        <w:rPr>
          <w:rFonts w:hint="eastAsia" w:ascii="仿宋" w:hAnsi="仿宋" w:eastAsia="仿宋" w:cs="仿宋"/>
          <w:b w:val="0"/>
          <w:bCs w:val="0"/>
          <w:color w:val="auto"/>
          <w:kern w:val="0"/>
          <w:sz w:val="28"/>
          <w:szCs w:val="28"/>
          <w:u w:val="none"/>
        </w:rPr>
        <w:t>年度开放教育面授教学基本情况</w:t>
      </w:r>
    </w:p>
    <w:tbl>
      <w:tblPr>
        <w:tblStyle w:val="11"/>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3"/>
        <w:gridCol w:w="3206"/>
        <w:gridCol w:w="4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7"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学期</w:t>
            </w:r>
          </w:p>
        </w:tc>
        <w:tc>
          <w:tcPr>
            <w:tcW w:w="1769"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面授辅导课次</w:t>
            </w:r>
          </w:p>
        </w:tc>
        <w:tc>
          <w:tcPr>
            <w:tcW w:w="221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学生平均到课率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春季</w:t>
            </w:r>
          </w:p>
        </w:tc>
        <w:tc>
          <w:tcPr>
            <w:tcW w:w="176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612</w:t>
            </w:r>
          </w:p>
        </w:tc>
        <w:tc>
          <w:tcPr>
            <w:tcW w:w="22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秋季</w:t>
            </w:r>
          </w:p>
        </w:tc>
        <w:tc>
          <w:tcPr>
            <w:tcW w:w="176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531</w:t>
            </w:r>
          </w:p>
        </w:tc>
        <w:tc>
          <w:tcPr>
            <w:tcW w:w="22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16%</w:t>
            </w:r>
          </w:p>
        </w:tc>
      </w:tr>
    </w:tbl>
    <w:p>
      <w:pPr>
        <w:pStyle w:val="16"/>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center"/>
        <w:rPr>
          <w:rFonts w:hint="eastAsia" w:ascii="仿宋" w:hAnsi="仿宋" w:eastAsia="仿宋" w:cs="仿宋"/>
          <w:b w:val="0"/>
          <w:bCs w:val="0"/>
          <w:color w:val="auto"/>
          <w:kern w:val="0"/>
          <w:sz w:val="28"/>
          <w:szCs w:val="28"/>
          <w:u w:val="none"/>
        </w:rPr>
      </w:pPr>
      <w:r>
        <w:rPr>
          <w:rFonts w:hint="eastAsia" w:ascii="仿宋" w:hAnsi="仿宋" w:eastAsia="仿宋" w:cs="仿宋"/>
          <w:b w:val="0"/>
          <w:bCs w:val="0"/>
          <w:color w:val="auto"/>
          <w:kern w:val="0"/>
          <w:sz w:val="28"/>
          <w:szCs w:val="28"/>
          <w:u w:val="none"/>
        </w:rPr>
        <w:t>表2-4-4-4</w:t>
      </w:r>
      <w:r>
        <w:rPr>
          <w:rFonts w:hint="eastAsia" w:ascii="仿宋" w:hAnsi="仿宋" w:eastAsia="仿宋" w:cs="仿宋"/>
          <w:b w:val="0"/>
          <w:bCs w:val="0"/>
          <w:color w:val="auto"/>
          <w:sz w:val="28"/>
          <w:szCs w:val="28"/>
          <w:u w:val="none"/>
        </w:rPr>
        <w:t xml:space="preserve"> 2021</w:t>
      </w:r>
      <w:r>
        <w:rPr>
          <w:rFonts w:hint="eastAsia" w:ascii="仿宋" w:hAnsi="仿宋" w:eastAsia="仿宋" w:cs="仿宋"/>
          <w:b w:val="0"/>
          <w:bCs w:val="0"/>
          <w:color w:val="auto"/>
          <w:kern w:val="0"/>
          <w:sz w:val="28"/>
          <w:szCs w:val="28"/>
          <w:u w:val="none"/>
        </w:rPr>
        <w:t>年度开放教育实践教学情况</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9"/>
        <w:gridCol w:w="2657"/>
        <w:gridCol w:w="2564"/>
        <w:gridCol w:w="2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4"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学期</w:t>
            </w:r>
          </w:p>
        </w:tc>
        <w:tc>
          <w:tcPr>
            <w:tcW w:w="1466"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实践基地新增数量</w:t>
            </w:r>
          </w:p>
        </w:tc>
        <w:tc>
          <w:tcPr>
            <w:tcW w:w="1415"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实践基地总数</w:t>
            </w:r>
          </w:p>
        </w:tc>
        <w:tc>
          <w:tcPr>
            <w:tcW w:w="143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开设实践课程数量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春季</w:t>
            </w:r>
          </w:p>
        </w:tc>
        <w:tc>
          <w:tcPr>
            <w:tcW w:w="146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0</w:t>
            </w:r>
          </w:p>
        </w:tc>
        <w:tc>
          <w:tcPr>
            <w:tcW w:w="1415"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18</w:t>
            </w:r>
          </w:p>
        </w:tc>
        <w:tc>
          <w:tcPr>
            <w:tcW w:w="143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秋季</w:t>
            </w:r>
          </w:p>
        </w:tc>
        <w:tc>
          <w:tcPr>
            <w:tcW w:w="146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0</w:t>
            </w:r>
          </w:p>
        </w:tc>
        <w:tc>
          <w:tcPr>
            <w:tcW w:w="1415"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18</w:t>
            </w:r>
          </w:p>
        </w:tc>
        <w:tc>
          <w:tcPr>
            <w:tcW w:w="143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20</w:t>
            </w:r>
          </w:p>
        </w:tc>
      </w:tr>
    </w:tbl>
    <w:p>
      <w:pPr>
        <w:keepNext w:val="0"/>
        <w:keepLines w:val="0"/>
        <w:pageBreakBefore w:val="0"/>
        <w:numPr>
          <w:ilvl w:val="0"/>
          <w:numId w:val="0"/>
        </w:numPr>
        <w:kinsoku/>
        <w:wordWrap/>
        <w:overflowPunct/>
        <w:topLinePunct w:val="0"/>
        <w:autoSpaceDE/>
        <w:autoSpaceDN/>
        <w:bidi w:val="0"/>
        <w:spacing w:line="500" w:lineRule="exact"/>
        <w:ind w:firstLine="640" w:firstLineChars="200"/>
        <w:outlineLvl w:val="2"/>
        <w:rPr>
          <w:rFonts w:hint="eastAsia" w:ascii="仿宋" w:hAnsi="仿宋" w:eastAsia="仿宋" w:cs="仿宋"/>
          <w:b w:val="0"/>
          <w:bCs w:val="0"/>
          <w:color w:val="auto"/>
          <w:sz w:val="32"/>
          <w:szCs w:val="32"/>
          <w:u w:val="none"/>
        </w:rPr>
      </w:pPr>
      <w:r>
        <w:rPr>
          <w:rFonts w:hint="eastAsia" w:ascii="仿宋" w:hAnsi="仿宋" w:eastAsia="仿宋" w:cs="仿宋"/>
          <w:b w:val="0"/>
          <w:bCs w:val="0"/>
          <w:color w:val="auto"/>
          <w:sz w:val="32"/>
          <w:szCs w:val="32"/>
          <w:u w:val="none"/>
          <w:lang w:val="en-US" w:eastAsia="zh-CN"/>
        </w:rPr>
        <w:t>5.</w:t>
      </w:r>
      <w:r>
        <w:rPr>
          <w:rFonts w:hint="eastAsia" w:ascii="仿宋" w:hAnsi="仿宋" w:eastAsia="仿宋" w:cs="仿宋"/>
          <w:b w:val="0"/>
          <w:bCs w:val="0"/>
          <w:color w:val="auto"/>
          <w:sz w:val="32"/>
          <w:szCs w:val="32"/>
          <w:u w:val="none"/>
        </w:rPr>
        <w:t>考试组织情况</w:t>
      </w:r>
    </w:p>
    <w:p>
      <w:pPr>
        <w:pStyle w:val="2"/>
        <w:keepNext w:val="0"/>
        <w:keepLines w:val="0"/>
        <w:pageBreakBefore w:val="0"/>
        <w:kinsoku/>
        <w:wordWrap/>
        <w:overflowPunct/>
        <w:topLinePunct w:val="0"/>
        <w:autoSpaceDE/>
        <w:autoSpaceDN/>
        <w:bidi w:val="0"/>
        <w:spacing w:after="0" w:line="500" w:lineRule="exact"/>
        <w:ind w:firstLine="640" w:firstLineChars="200"/>
        <w:rPr>
          <w:rFonts w:hint="eastAsia" w:ascii="仿宋" w:hAnsi="仿宋" w:eastAsia="仿宋" w:cs="仿宋"/>
          <w:b w:val="0"/>
          <w:bCs w:val="0"/>
          <w:color w:val="auto"/>
          <w:sz w:val="32"/>
          <w:szCs w:val="32"/>
          <w:u w:val="none"/>
        </w:rPr>
      </w:pPr>
      <w:r>
        <w:rPr>
          <w:rFonts w:hint="eastAsia" w:ascii="仿宋" w:hAnsi="仿宋" w:eastAsia="仿宋" w:cs="仿宋"/>
          <w:b w:val="0"/>
          <w:bCs w:val="0"/>
          <w:color w:val="auto"/>
          <w:sz w:val="32"/>
          <w:szCs w:val="32"/>
          <w:u w:val="none"/>
          <w:lang w:val="en-US" w:eastAsia="zh-CN"/>
        </w:rPr>
        <w:t>学</w:t>
      </w:r>
      <w:r>
        <w:rPr>
          <w:rFonts w:hint="eastAsia" w:ascii="仿宋" w:hAnsi="仿宋" w:eastAsia="仿宋" w:cs="仿宋"/>
          <w:b w:val="0"/>
          <w:bCs w:val="0"/>
          <w:color w:val="auto"/>
          <w:sz w:val="32"/>
          <w:szCs w:val="32"/>
          <w:u w:val="none"/>
        </w:rPr>
        <w:t>校以“治乱提质促发展”为指导思想，严格落实“治考”要求，历次考试均成立考试工作领导小组，考试舆情工作领导小组，落实责任到人。考前及时召开各</w:t>
      </w:r>
      <w:r>
        <w:rPr>
          <w:rFonts w:hint="eastAsia" w:ascii="仿宋" w:hAnsi="仿宋" w:eastAsia="仿宋" w:cs="仿宋"/>
          <w:b w:val="0"/>
          <w:bCs w:val="0"/>
          <w:color w:val="auto"/>
          <w:sz w:val="32"/>
          <w:szCs w:val="32"/>
          <w:u w:val="none"/>
          <w:lang w:eastAsia="zh-CN"/>
        </w:rPr>
        <w:t>学习中心</w:t>
      </w:r>
      <w:r>
        <w:rPr>
          <w:rFonts w:hint="eastAsia" w:ascii="仿宋" w:hAnsi="仿宋" w:eastAsia="仿宋" w:cs="仿宋"/>
          <w:b w:val="0"/>
          <w:bCs w:val="0"/>
          <w:color w:val="auto"/>
          <w:sz w:val="32"/>
          <w:szCs w:val="32"/>
          <w:u w:val="none"/>
        </w:rPr>
        <w:t>主考工作会、考务人员工作会及监考人员培训会，抓好考前考风考纪教育、考前宣传、考试秩序册编印、考试安全责任书签订、试卷保密等各环节考务工作，确保从预防、人防、技防、制防等多方面多角度做好考试工作。组织每个班级召开“诚信考试”主题班会，并组织进行“诚信考试”网上签名活动。制定了《监考人员考试工作流程》，规范了监考人员考试工作过程行为，促进了严肃考风考纪落到实处，拟定了《巡考工作情况反馈表》，对县区考点均派出驻考点巡考人员，加强对县区考点考试工作的监督和评估，及时发现县区考点存在的一些问题并予以纠正，消除安全隐患。2021年，共组织开放教育期末考试两次计5天，开放教育计算机基础无纸化考试、基于网络形考课程的终结性考试两次计16天，网络教育统考三次计11天（7月份考试计3天）等大小考试7次，安排考务、监考、保卫、试卷保管、后勤及巡视人员300余人次，共计5万余人次的学生参加考试，累计考试时间32天，均达到了平安、顺利、圆满的总目标。</w:t>
      </w:r>
    </w:p>
    <w:p>
      <w:pPr>
        <w:pStyle w:val="2"/>
        <w:keepNext w:val="0"/>
        <w:keepLines w:val="0"/>
        <w:pageBreakBefore w:val="0"/>
        <w:kinsoku/>
        <w:wordWrap/>
        <w:overflowPunct/>
        <w:topLinePunct w:val="0"/>
        <w:autoSpaceDE/>
        <w:autoSpaceDN/>
        <w:bidi w:val="0"/>
        <w:spacing w:after="0" w:line="500" w:lineRule="exact"/>
        <w:ind w:firstLine="640" w:firstLineChars="200"/>
        <w:rPr>
          <w:rFonts w:hint="eastAsia" w:ascii="仿宋" w:hAnsi="仿宋" w:eastAsia="仿宋" w:cs="仿宋"/>
          <w:b w:val="0"/>
          <w:bCs w:val="0"/>
          <w:color w:val="auto"/>
          <w:kern w:val="0"/>
          <w:sz w:val="32"/>
          <w:szCs w:val="32"/>
          <w:u w:val="none"/>
        </w:rPr>
      </w:pPr>
      <w:r>
        <w:rPr>
          <w:rFonts w:hint="eastAsia" w:ascii="仿宋" w:hAnsi="仿宋" w:eastAsia="仿宋" w:cs="仿宋"/>
          <w:b w:val="0"/>
          <w:bCs w:val="0"/>
          <w:color w:val="auto"/>
          <w:sz w:val="32"/>
          <w:szCs w:val="32"/>
          <w:u w:val="none"/>
        </w:rPr>
        <w:t>2021年</w:t>
      </w:r>
      <w:r>
        <w:rPr>
          <w:rFonts w:hint="eastAsia" w:ascii="仿宋" w:hAnsi="仿宋" w:eastAsia="仿宋" w:cs="仿宋"/>
          <w:b w:val="0"/>
          <w:bCs w:val="0"/>
          <w:color w:val="auto"/>
          <w:sz w:val="32"/>
          <w:szCs w:val="32"/>
          <w:u w:val="none"/>
          <w:lang w:val="en-US" w:eastAsia="zh-CN"/>
        </w:rPr>
        <w:t>学校</w:t>
      </w:r>
      <w:r>
        <w:rPr>
          <w:rFonts w:hint="eastAsia" w:ascii="仿宋" w:hAnsi="仿宋" w:eastAsia="仿宋" w:cs="仿宋"/>
          <w:b w:val="0"/>
          <w:bCs w:val="0"/>
          <w:color w:val="auto"/>
          <w:sz w:val="32"/>
          <w:szCs w:val="32"/>
          <w:u w:val="none"/>
        </w:rPr>
        <w:t>组织的两次开放教育期末考试，省校均派出巡考组巡考，两次考试的巡视员认真履行巡考职责，对身份核查、考试宣传、考试组织秩序、试卷保管与安全等各个考试环节的工作进行细致检查并给予了充分的肯定和高度评价。此外，巡考组还巡视了公关、湘东等下属考点，充分肯定了下属考点考试组织规范、主考全程在岗、考试各环节工作能严格按组考要求认真组考，同时针对下属考点入口关把控、试卷保管室等关键环节指出了其存在的不足，提出了需改进的具体措施。考试结束后，巡考组一致认同萍乡开放大学的考试组织规范，能严格按照国家开放大学和</w:t>
      </w:r>
      <w:r>
        <w:rPr>
          <w:rFonts w:hint="eastAsia" w:ascii="仿宋" w:hAnsi="仿宋" w:eastAsia="仿宋" w:cs="仿宋"/>
          <w:b w:val="0"/>
          <w:bCs w:val="0"/>
          <w:color w:val="auto"/>
          <w:sz w:val="32"/>
          <w:szCs w:val="32"/>
          <w:u w:val="none"/>
          <w:lang w:val="en-US" w:eastAsia="zh-CN"/>
        </w:rPr>
        <w:t>省校</w:t>
      </w:r>
      <w:r>
        <w:rPr>
          <w:rFonts w:hint="eastAsia" w:ascii="仿宋" w:hAnsi="仿宋" w:eastAsia="仿宋" w:cs="仿宋"/>
          <w:b w:val="0"/>
          <w:bCs w:val="0"/>
          <w:color w:val="auto"/>
          <w:sz w:val="32"/>
          <w:szCs w:val="32"/>
          <w:u w:val="none"/>
        </w:rPr>
        <w:t>的组考要求认真组织考试，整个考试做到了严谨、规范、安全、有序。</w:t>
      </w:r>
    </w:p>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rPr>
          <w:rFonts w:hint="eastAsia" w:ascii="仿宋" w:hAnsi="仿宋" w:eastAsia="仿宋" w:cs="仿宋"/>
          <w:b w:val="0"/>
          <w:bCs w:val="0"/>
          <w:color w:val="auto"/>
          <w:kern w:val="0"/>
          <w:sz w:val="28"/>
          <w:szCs w:val="28"/>
          <w:u w:val="none"/>
        </w:rPr>
      </w:pPr>
      <w:r>
        <w:rPr>
          <w:rFonts w:hint="eastAsia" w:ascii="仿宋" w:hAnsi="仿宋" w:eastAsia="仿宋" w:cs="仿宋"/>
          <w:b w:val="0"/>
          <w:bCs w:val="0"/>
          <w:color w:val="auto"/>
          <w:kern w:val="0"/>
          <w:sz w:val="28"/>
          <w:szCs w:val="28"/>
          <w:u w:val="none"/>
        </w:rPr>
        <w:t>表2-4-5</w:t>
      </w:r>
      <w:r>
        <w:rPr>
          <w:rFonts w:hint="eastAsia" w:ascii="仿宋" w:hAnsi="仿宋" w:eastAsia="仿宋" w:cs="仿宋"/>
          <w:b w:val="0"/>
          <w:bCs w:val="0"/>
          <w:color w:val="auto"/>
          <w:sz w:val="28"/>
          <w:szCs w:val="28"/>
          <w:u w:val="none"/>
        </w:rPr>
        <w:t xml:space="preserve"> 2021</w:t>
      </w:r>
      <w:r>
        <w:rPr>
          <w:rFonts w:hint="eastAsia" w:ascii="仿宋" w:hAnsi="仿宋" w:eastAsia="仿宋" w:cs="仿宋"/>
          <w:b w:val="0"/>
          <w:bCs w:val="0"/>
          <w:color w:val="auto"/>
          <w:kern w:val="0"/>
          <w:sz w:val="28"/>
          <w:szCs w:val="28"/>
          <w:u w:val="none"/>
        </w:rPr>
        <w:t>年度开放教育考试情况</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3"/>
        <w:gridCol w:w="2177"/>
        <w:gridCol w:w="1720"/>
        <w:gridCol w:w="2177"/>
        <w:gridCol w:w="1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697"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学期</w:t>
            </w:r>
          </w:p>
        </w:tc>
        <w:tc>
          <w:tcPr>
            <w:tcW w:w="1201"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实考人数</w:t>
            </w:r>
          </w:p>
        </w:tc>
        <w:tc>
          <w:tcPr>
            <w:tcW w:w="949"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实考率</w:t>
            </w:r>
          </w:p>
        </w:tc>
        <w:tc>
          <w:tcPr>
            <w:tcW w:w="1201"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合格人数</w:t>
            </w:r>
          </w:p>
        </w:tc>
        <w:tc>
          <w:tcPr>
            <w:tcW w:w="949"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合格率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6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春季</w:t>
            </w:r>
          </w:p>
        </w:tc>
        <w:tc>
          <w:tcPr>
            <w:tcW w:w="120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43940</w:t>
            </w:r>
          </w:p>
        </w:tc>
        <w:tc>
          <w:tcPr>
            <w:tcW w:w="9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99.10%</w:t>
            </w:r>
          </w:p>
        </w:tc>
        <w:tc>
          <w:tcPr>
            <w:tcW w:w="120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38986</w:t>
            </w:r>
          </w:p>
        </w:tc>
        <w:tc>
          <w:tcPr>
            <w:tcW w:w="9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88.73%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697"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秋季</w:t>
            </w:r>
          </w:p>
        </w:tc>
        <w:tc>
          <w:tcPr>
            <w:tcW w:w="120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39706</w:t>
            </w:r>
          </w:p>
        </w:tc>
        <w:tc>
          <w:tcPr>
            <w:tcW w:w="9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97.50%</w:t>
            </w:r>
          </w:p>
        </w:tc>
        <w:tc>
          <w:tcPr>
            <w:tcW w:w="120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35445</w:t>
            </w:r>
          </w:p>
        </w:tc>
        <w:tc>
          <w:tcPr>
            <w:tcW w:w="9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89.27%</w:t>
            </w:r>
          </w:p>
        </w:tc>
      </w:tr>
    </w:tbl>
    <w:p>
      <w:pPr>
        <w:keepNext w:val="0"/>
        <w:keepLines w:val="0"/>
        <w:pageBreakBefore w:val="0"/>
        <w:numPr>
          <w:ilvl w:val="0"/>
          <w:numId w:val="0"/>
        </w:numPr>
        <w:kinsoku/>
        <w:wordWrap/>
        <w:overflowPunct/>
        <w:topLinePunct w:val="0"/>
        <w:autoSpaceDE/>
        <w:autoSpaceDN/>
        <w:bidi w:val="0"/>
        <w:spacing w:line="500" w:lineRule="exact"/>
        <w:ind w:firstLine="640" w:firstLineChars="200"/>
        <w:outlineLvl w:val="2"/>
        <w:rPr>
          <w:rFonts w:hint="eastAsia" w:ascii="仿宋" w:hAnsi="仿宋" w:eastAsia="仿宋" w:cs="仿宋"/>
          <w:b w:val="0"/>
          <w:bCs w:val="0"/>
          <w:color w:val="auto"/>
          <w:sz w:val="32"/>
          <w:szCs w:val="32"/>
          <w:u w:val="none"/>
        </w:rPr>
      </w:pPr>
      <w:r>
        <w:rPr>
          <w:rFonts w:hint="eastAsia" w:ascii="仿宋" w:hAnsi="仿宋" w:eastAsia="仿宋" w:cs="仿宋"/>
          <w:b w:val="0"/>
          <w:bCs w:val="0"/>
          <w:color w:val="auto"/>
          <w:sz w:val="32"/>
          <w:szCs w:val="32"/>
          <w:u w:val="none"/>
          <w:lang w:val="en-US" w:eastAsia="zh-CN"/>
        </w:rPr>
        <w:t>6.</w:t>
      </w:r>
      <w:r>
        <w:rPr>
          <w:rFonts w:hint="eastAsia" w:ascii="仿宋" w:hAnsi="仿宋" w:eastAsia="仿宋" w:cs="仿宋"/>
          <w:b w:val="0"/>
          <w:bCs w:val="0"/>
          <w:color w:val="auto"/>
          <w:sz w:val="32"/>
          <w:szCs w:val="32"/>
          <w:u w:val="none"/>
        </w:rPr>
        <w:t>教学检查结果</w:t>
      </w:r>
    </w:p>
    <w:p>
      <w:pPr>
        <w:pStyle w:val="16"/>
        <w:keepNext w:val="0"/>
        <w:keepLines w:val="0"/>
        <w:pageBreakBefore w:val="0"/>
        <w:kinsoku/>
        <w:wordWrap/>
        <w:overflowPunct/>
        <w:topLinePunct w:val="0"/>
        <w:autoSpaceDE/>
        <w:autoSpaceDN/>
        <w:bidi w:val="0"/>
        <w:spacing w:line="500" w:lineRule="exact"/>
        <w:ind w:firstLine="640"/>
        <w:rPr>
          <w:rFonts w:hint="eastAsia" w:ascii="仿宋" w:hAnsi="仿宋" w:eastAsia="仿宋" w:cs="仿宋"/>
          <w:b w:val="0"/>
          <w:bCs w:val="0"/>
          <w:color w:val="auto"/>
          <w:sz w:val="32"/>
          <w:szCs w:val="32"/>
          <w:u w:val="none"/>
        </w:rPr>
      </w:pPr>
      <w:r>
        <w:rPr>
          <w:rFonts w:hint="eastAsia" w:ascii="仿宋" w:hAnsi="仿宋" w:eastAsia="仿宋" w:cs="仿宋"/>
          <w:b w:val="0"/>
          <w:bCs w:val="0"/>
          <w:color w:val="auto"/>
          <w:sz w:val="32"/>
          <w:szCs w:val="32"/>
          <w:u w:val="none"/>
        </w:rPr>
        <w:t>省校综合教学检查的反馈意见</w:t>
      </w:r>
    </w:p>
    <w:p>
      <w:pPr>
        <w:pStyle w:val="16"/>
        <w:keepNext w:val="0"/>
        <w:keepLines w:val="0"/>
        <w:pageBreakBefore w:val="0"/>
        <w:kinsoku/>
        <w:wordWrap/>
        <w:overflowPunct/>
        <w:topLinePunct w:val="0"/>
        <w:autoSpaceDE/>
        <w:autoSpaceDN/>
        <w:bidi w:val="0"/>
        <w:spacing w:line="500" w:lineRule="exact"/>
        <w:ind w:firstLine="640"/>
        <w:rPr>
          <w:rFonts w:hint="eastAsia" w:ascii="仿宋" w:hAnsi="仿宋" w:eastAsia="仿宋" w:cs="仿宋"/>
          <w:b w:val="0"/>
          <w:bCs w:val="0"/>
          <w:color w:val="auto"/>
          <w:sz w:val="32"/>
          <w:szCs w:val="32"/>
          <w:u w:val="none"/>
        </w:rPr>
      </w:pPr>
      <w:r>
        <w:rPr>
          <w:rFonts w:hint="eastAsia" w:ascii="仿宋" w:hAnsi="仿宋" w:eastAsia="仿宋" w:cs="仿宋"/>
          <w:b w:val="0"/>
          <w:bCs w:val="0"/>
          <w:color w:val="auto"/>
          <w:sz w:val="32"/>
          <w:szCs w:val="32"/>
          <w:u w:val="none"/>
        </w:rPr>
        <w:t>①亮点：</w:t>
      </w:r>
    </w:p>
    <w:p>
      <w:pPr>
        <w:pStyle w:val="16"/>
        <w:keepNext w:val="0"/>
        <w:keepLines w:val="0"/>
        <w:pageBreakBefore w:val="0"/>
        <w:kinsoku/>
        <w:wordWrap/>
        <w:overflowPunct/>
        <w:topLinePunct w:val="0"/>
        <w:autoSpaceDE/>
        <w:autoSpaceDN/>
        <w:bidi w:val="0"/>
        <w:spacing w:line="500" w:lineRule="exact"/>
        <w:ind w:firstLine="640"/>
        <w:rPr>
          <w:rFonts w:hint="eastAsia" w:ascii="仿宋" w:hAnsi="仿宋" w:eastAsia="仿宋" w:cs="仿宋"/>
          <w:b w:val="0"/>
          <w:bCs w:val="0"/>
          <w:color w:val="auto"/>
          <w:sz w:val="32"/>
          <w:szCs w:val="32"/>
          <w:u w:val="none"/>
        </w:rPr>
      </w:pPr>
      <w:r>
        <w:rPr>
          <w:rFonts w:hint="eastAsia" w:ascii="仿宋" w:hAnsi="仿宋" w:eastAsia="仿宋" w:cs="仿宋"/>
          <w:b w:val="0"/>
          <w:bCs w:val="0"/>
          <w:color w:val="auto"/>
          <w:sz w:val="32"/>
          <w:szCs w:val="32"/>
          <w:u w:val="none"/>
        </w:rPr>
        <w:t>第一，高度重视迎检工作，对2020年发现的问题进行了认真有效地整改。在实践教学方面取得明显效果。如将学历教育与培养技能相结合，对会计、计算机专业进行试点，增加实操课程，其中会计专业效果明显。</w:t>
      </w:r>
    </w:p>
    <w:p>
      <w:pPr>
        <w:pStyle w:val="16"/>
        <w:keepNext w:val="0"/>
        <w:keepLines w:val="0"/>
        <w:pageBreakBefore w:val="0"/>
        <w:kinsoku/>
        <w:wordWrap/>
        <w:overflowPunct/>
        <w:topLinePunct w:val="0"/>
        <w:autoSpaceDE/>
        <w:autoSpaceDN/>
        <w:bidi w:val="0"/>
        <w:spacing w:line="500" w:lineRule="exact"/>
        <w:ind w:firstLine="640"/>
        <w:rPr>
          <w:rFonts w:hint="eastAsia" w:ascii="仿宋" w:hAnsi="仿宋" w:eastAsia="仿宋" w:cs="仿宋"/>
          <w:b w:val="0"/>
          <w:bCs w:val="0"/>
          <w:color w:val="auto"/>
          <w:sz w:val="32"/>
          <w:szCs w:val="32"/>
          <w:u w:val="none"/>
        </w:rPr>
      </w:pPr>
      <w:r>
        <w:rPr>
          <w:rFonts w:hint="eastAsia" w:ascii="仿宋" w:hAnsi="仿宋" w:eastAsia="仿宋" w:cs="仿宋"/>
          <w:b w:val="0"/>
          <w:bCs w:val="0"/>
          <w:color w:val="auto"/>
          <w:sz w:val="32"/>
          <w:szCs w:val="32"/>
          <w:u w:val="none"/>
        </w:rPr>
        <w:t>第二，学生活动多样化，在活动中增强学生仪式感和归属感。如组织成立萍乡开大开放教育学生会和举行开学典礼，对128位优秀学员进行奖励。</w:t>
      </w:r>
    </w:p>
    <w:p>
      <w:pPr>
        <w:pStyle w:val="16"/>
        <w:keepNext w:val="0"/>
        <w:keepLines w:val="0"/>
        <w:pageBreakBefore w:val="0"/>
        <w:kinsoku/>
        <w:wordWrap/>
        <w:overflowPunct/>
        <w:topLinePunct w:val="0"/>
        <w:autoSpaceDE/>
        <w:autoSpaceDN/>
        <w:bidi w:val="0"/>
        <w:spacing w:line="500" w:lineRule="exact"/>
        <w:ind w:firstLine="640"/>
        <w:rPr>
          <w:rFonts w:hint="eastAsia" w:ascii="仿宋" w:hAnsi="仿宋" w:eastAsia="仿宋" w:cs="仿宋"/>
          <w:b w:val="0"/>
          <w:bCs w:val="0"/>
          <w:color w:val="auto"/>
          <w:sz w:val="32"/>
          <w:szCs w:val="32"/>
          <w:u w:val="none"/>
        </w:rPr>
      </w:pPr>
      <w:r>
        <w:rPr>
          <w:rFonts w:hint="eastAsia" w:ascii="仿宋" w:hAnsi="仿宋" w:eastAsia="仿宋" w:cs="仿宋"/>
          <w:b w:val="0"/>
          <w:bCs w:val="0"/>
          <w:color w:val="auto"/>
          <w:sz w:val="32"/>
          <w:szCs w:val="32"/>
          <w:u w:val="none"/>
        </w:rPr>
        <w:t>第三，网上教学卓有成效，稳步提高学习网使用率。2021年春、秋季网检数据显示，几项数据指标排名稳居全省前列。</w:t>
      </w:r>
    </w:p>
    <w:p>
      <w:pPr>
        <w:pStyle w:val="16"/>
        <w:keepNext w:val="0"/>
        <w:keepLines w:val="0"/>
        <w:pageBreakBefore w:val="0"/>
        <w:kinsoku/>
        <w:wordWrap/>
        <w:overflowPunct/>
        <w:topLinePunct w:val="0"/>
        <w:autoSpaceDE/>
        <w:autoSpaceDN/>
        <w:bidi w:val="0"/>
        <w:spacing w:line="500" w:lineRule="exact"/>
        <w:ind w:firstLine="640"/>
        <w:rPr>
          <w:rFonts w:hint="eastAsia" w:ascii="仿宋" w:hAnsi="仿宋" w:eastAsia="仿宋" w:cs="仿宋"/>
          <w:b w:val="0"/>
          <w:bCs w:val="0"/>
          <w:color w:val="auto"/>
          <w:sz w:val="32"/>
          <w:szCs w:val="32"/>
          <w:u w:val="none"/>
        </w:rPr>
      </w:pPr>
      <w:r>
        <w:rPr>
          <w:rFonts w:hint="eastAsia" w:ascii="仿宋" w:hAnsi="仿宋" w:eastAsia="仿宋" w:cs="仿宋"/>
          <w:b w:val="0"/>
          <w:bCs w:val="0"/>
          <w:color w:val="auto"/>
          <w:sz w:val="32"/>
          <w:szCs w:val="32"/>
          <w:u w:val="none"/>
        </w:rPr>
        <w:t>第四，教材征订工作突出，校本部教材征订率高。</w:t>
      </w:r>
    </w:p>
    <w:p>
      <w:pPr>
        <w:pStyle w:val="2"/>
        <w:keepNext w:val="0"/>
        <w:keepLines w:val="0"/>
        <w:pageBreakBefore w:val="0"/>
        <w:kinsoku/>
        <w:wordWrap/>
        <w:overflowPunct/>
        <w:topLinePunct w:val="0"/>
        <w:autoSpaceDE/>
        <w:autoSpaceDN/>
        <w:bidi w:val="0"/>
        <w:spacing w:after="0" w:line="500" w:lineRule="exact"/>
        <w:ind w:firstLine="640" w:firstLineChars="200"/>
        <w:rPr>
          <w:rFonts w:ascii="仿宋" w:hAnsi="仿宋" w:eastAsia="仿宋" w:cs="仿宋"/>
          <w:color w:val="auto"/>
          <w:sz w:val="32"/>
          <w:szCs w:val="32"/>
          <w:u w:val="none"/>
        </w:rPr>
      </w:pPr>
      <w:r>
        <w:rPr>
          <w:rFonts w:hint="eastAsia" w:ascii="仿宋" w:hAnsi="仿宋" w:eastAsia="仿宋" w:cs="仿宋"/>
          <w:b w:val="0"/>
          <w:bCs w:val="0"/>
          <w:color w:val="auto"/>
          <w:sz w:val="32"/>
          <w:szCs w:val="32"/>
          <w:u w:val="none"/>
        </w:rPr>
        <w:t>②建议：通过改革完善系统的管理体制与运行机制，强化对县级开放学院的管理与服务，尤其是教育及教学管理信息的及时有效传达及反馈。</w:t>
      </w:r>
    </w:p>
    <w:p>
      <w:pPr>
        <w:keepNext w:val="0"/>
        <w:keepLines w:val="0"/>
        <w:pageBreakBefore w:val="0"/>
        <w:numPr>
          <w:ilvl w:val="0"/>
          <w:numId w:val="2"/>
        </w:numPr>
        <w:kinsoku/>
        <w:wordWrap/>
        <w:overflowPunct/>
        <w:topLinePunct w:val="0"/>
        <w:autoSpaceDE/>
        <w:autoSpaceDN/>
        <w:bidi w:val="0"/>
        <w:adjustRightInd w:val="0"/>
        <w:snapToGrid w:val="0"/>
        <w:spacing w:line="500" w:lineRule="exact"/>
        <w:ind w:firstLine="720"/>
        <w:outlineLvl w:val="1"/>
        <w:rPr>
          <w:rFonts w:hint="eastAsia" w:ascii="楷体" w:hAnsi="楷体" w:eastAsia="楷体" w:cs="楷体"/>
          <w:b w:val="0"/>
          <w:bCs w:val="0"/>
          <w:color w:val="auto"/>
          <w:sz w:val="32"/>
          <w:szCs w:val="32"/>
          <w:u w:val="none"/>
        </w:rPr>
      </w:pPr>
      <w:r>
        <w:rPr>
          <w:rFonts w:hint="eastAsia" w:ascii="楷体" w:hAnsi="楷体" w:eastAsia="楷体" w:cs="楷体"/>
          <w:b w:val="0"/>
          <w:bCs w:val="0"/>
          <w:color w:val="auto"/>
          <w:sz w:val="32"/>
          <w:szCs w:val="32"/>
          <w:u w:val="none"/>
        </w:rPr>
        <w:t>思政教育和学生工作</w:t>
      </w:r>
    </w:p>
    <w:p>
      <w:pPr>
        <w:keepNext w:val="0"/>
        <w:keepLines w:val="0"/>
        <w:pageBreakBefore w:val="0"/>
        <w:kinsoku/>
        <w:wordWrap/>
        <w:overflowPunct/>
        <w:topLinePunct w:val="0"/>
        <w:autoSpaceDE/>
        <w:autoSpaceDN/>
        <w:bidi w:val="0"/>
        <w:spacing w:line="500" w:lineRule="exact"/>
        <w:ind w:firstLine="640" w:firstLineChars="200"/>
        <w:rPr>
          <w:rFonts w:ascii="仿宋" w:hAnsi="仿宋" w:eastAsia="仿宋" w:cs="仿宋"/>
          <w:color w:val="auto"/>
          <w:sz w:val="32"/>
          <w:szCs w:val="32"/>
          <w:u w:val="none"/>
        </w:rPr>
      </w:pPr>
      <w:r>
        <w:rPr>
          <w:rFonts w:hint="eastAsia" w:ascii="仿宋" w:hAnsi="仿宋" w:eastAsia="仿宋" w:cs="仿宋"/>
          <w:color w:val="auto"/>
          <w:kern w:val="0"/>
          <w:sz w:val="32"/>
          <w:szCs w:val="32"/>
          <w:u w:val="none"/>
        </w:rPr>
        <w:t>2021年，学校通过引进高层次人才充实学校思政教学队伍，并通过组建思政、教育管理等6个教学团队提高教师教育教学水平，提高业务理论水平。不断</w:t>
      </w:r>
      <w:r>
        <w:rPr>
          <w:rFonts w:hint="eastAsia" w:ascii="仿宋" w:hAnsi="仿宋" w:eastAsia="仿宋" w:cs="仿宋"/>
          <w:color w:val="auto"/>
          <w:sz w:val="32"/>
          <w:szCs w:val="32"/>
          <w:u w:val="none"/>
        </w:rPr>
        <w:t>改革思政教育课程形式，以面授、网上学习和专题讲座三结合的方式组织思政课教学。通过教学形式的改革增强思政课程的吸引力，加强学生思政教育，组织了《民法典》《祭英烈 学党史 感党恩 跟党走》《消防安全知识专题讲座》《马克思主义原理》《思想道德修养与法治》和《龚全珍师德教育》等专题讲座，取得较好效果。</w:t>
      </w:r>
    </w:p>
    <w:p>
      <w:pPr>
        <w:keepNext w:val="0"/>
        <w:keepLines w:val="0"/>
        <w:pageBreakBefore w:val="0"/>
        <w:kinsoku/>
        <w:wordWrap/>
        <w:overflowPunct/>
        <w:topLinePunct w:val="0"/>
        <w:autoSpaceDE/>
        <w:autoSpaceDN/>
        <w:bidi w:val="0"/>
        <w:spacing w:line="500" w:lineRule="exact"/>
        <w:ind w:firstLine="640" w:firstLineChars="200"/>
        <w:rPr>
          <w:rFonts w:ascii="仿宋" w:hAnsi="仿宋" w:eastAsia="仿宋" w:cs="仿宋"/>
          <w:color w:val="auto"/>
          <w:sz w:val="32"/>
          <w:szCs w:val="32"/>
          <w:u w:val="none"/>
        </w:rPr>
      </w:pPr>
      <w:r>
        <w:rPr>
          <w:rFonts w:hint="eastAsia" w:ascii="仿宋" w:hAnsi="仿宋" w:eastAsia="仿宋" w:cs="仿宋"/>
          <w:color w:val="auto"/>
          <w:sz w:val="32"/>
          <w:szCs w:val="32"/>
          <w:u w:val="none"/>
        </w:rPr>
        <w:t>学校有一支精干的专职学生管理队伍，在做好辅导员管理工作的同时，能积极组织学生参加国家开放大学和省</w:t>
      </w:r>
      <w:r>
        <w:rPr>
          <w:rFonts w:hint="eastAsia" w:ascii="仿宋" w:hAnsi="仿宋" w:eastAsia="仿宋" w:cs="仿宋"/>
          <w:color w:val="auto"/>
          <w:sz w:val="32"/>
          <w:szCs w:val="32"/>
          <w:u w:val="none"/>
          <w:lang w:val="en-US" w:eastAsia="zh-CN"/>
        </w:rPr>
        <w:t>校</w:t>
      </w:r>
      <w:r>
        <w:rPr>
          <w:rFonts w:hint="eastAsia" w:ascii="仿宋" w:hAnsi="仿宋" w:eastAsia="仿宋" w:cs="仿宋"/>
          <w:color w:val="auto"/>
          <w:sz w:val="32"/>
          <w:szCs w:val="32"/>
          <w:u w:val="none"/>
        </w:rPr>
        <w:t>组织的各类活动，并按照国家开放大学和省</w:t>
      </w:r>
      <w:r>
        <w:rPr>
          <w:rFonts w:hint="eastAsia" w:ascii="仿宋" w:hAnsi="仿宋" w:eastAsia="仿宋" w:cs="仿宋"/>
          <w:color w:val="auto"/>
          <w:sz w:val="32"/>
          <w:szCs w:val="32"/>
          <w:u w:val="none"/>
          <w:lang w:val="en-US" w:eastAsia="zh-CN"/>
        </w:rPr>
        <w:t>校</w:t>
      </w:r>
      <w:r>
        <w:rPr>
          <w:rFonts w:hint="eastAsia" w:ascii="仿宋" w:hAnsi="仿宋" w:eastAsia="仿宋" w:cs="仿宋"/>
          <w:color w:val="auto"/>
          <w:sz w:val="32"/>
          <w:szCs w:val="32"/>
          <w:u w:val="none"/>
        </w:rPr>
        <w:t>要求做好奖学金、优秀毕业生和优秀学员及优秀教师的推选工作。2021年，学校共有47位学生获国家开放大学奖学金，2位学生获江西开放大学助学金，3位学生获国家开放大学优秀毕业生，4位学生在“赣鄱学子心向党”系列活动中获奖，选送的“富硒水稻产业化绿色种植示范”获国家开放大学“一村一名大学生计划”学生优秀创新创业案例三等奖，《富硒水稻产业化绿色种植》项目获省</w:t>
      </w:r>
      <w:r>
        <w:rPr>
          <w:rFonts w:hint="eastAsia" w:ascii="仿宋" w:hAnsi="仿宋" w:eastAsia="仿宋" w:cs="仿宋"/>
          <w:color w:val="auto"/>
          <w:sz w:val="32"/>
          <w:szCs w:val="32"/>
          <w:u w:val="none"/>
          <w:lang w:val="en-US" w:eastAsia="zh-CN"/>
        </w:rPr>
        <w:t>校</w:t>
      </w:r>
      <w:r>
        <w:rPr>
          <w:rFonts w:hint="eastAsia" w:ascii="仿宋" w:hAnsi="仿宋" w:eastAsia="仿宋" w:cs="仿宋"/>
          <w:color w:val="auto"/>
          <w:sz w:val="32"/>
          <w:szCs w:val="32"/>
          <w:u w:val="none"/>
        </w:rPr>
        <w:t>互联网+大学生创新创业大赛三等奖。充分发挥团委、学生会的作用，结合时政情况积极开展多种形式的学生活动，2021年共组织江西开放大学“互联网+”大学生创新创业比赛、“赣鄱学子心向党”系列活动、收看中央电视台全国大学生党史知识竞赛、开展“点亮4.15”共同维护国家安全融媒体宣传周活动、收看“开学第一课”、党史学习教育实践活动等各类学生活动17项。在江西开放大学“赣鄱学子心向党”系列活动中，组织学生拍摄的庆祝建党100周年红歌MV《我们走在大路上》获一等奖，并在省、市多家媒体上进行展播；学生陈融获云游作品一等奖，肖本桂、周磊获二等奖，谢婷婷获讲述党史故事二等奖。丰富多彩的活动进一步培养了学生的归属感和认同感，产生了良好的社会影响。</w:t>
      </w:r>
    </w:p>
    <w:p>
      <w:pPr>
        <w:pStyle w:val="2"/>
        <w:keepNext w:val="0"/>
        <w:keepLines w:val="0"/>
        <w:pageBreakBefore w:val="0"/>
        <w:numPr>
          <w:ilvl w:val="0"/>
          <w:numId w:val="3"/>
        </w:numPr>
        <w:kinsoku/>
        <w:wordWrap/>
        <w:overflowPunct/>
        <w:topLinePunct w:val="0"/>
        <w:autoSpaceDE/>
        <w:autoSpaceDN/>
        <w:bidi w:val="0"/>
        <w:spacing w:after="0" w:line="500" w:lineRule="exact"/>
        <w:ind w:firstLine="640" w:firstLineChars="200"/>
        <w:outlineLvl w:val="0"/>
        <w:rPr>
          <w:rFonts w:ascii="黑体" w:hAnsi="黑体" w:eastAsia="黑体" w:cs="黑体"/>
          <w:color w:val="auto"/>
          <w:sz w:val="32"/>
          <w:szCs w:val="32"/>
          <w:u w:val="none"/>
        </w:rPr>
      </w:pPr>
      <w:r>
        <w:rPr>
          <w:rFonts w:hint="eastAsia" w:ascii="黑体" w:hAnsi="黑体" w:eastAsia="黑体" w:cs="黑体"/>
          <w:color w:val="auto"/>
          <w:sz w:val="32"/>
          <w:szCs w:val="32"/>
          <w:u w:val="none"/>
        </w:rPr>
        <w:t>办学条件</w:t>
      </w:r>
    </w:p>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hint="eastAsia" w:ascii="楷体" w:hAnsi="楷体" w:eastAsia="楷体" w:cs="楷体"/>
          <w:b w:val="0"/>
          <w:bCs w:val="0"/>
          <w:color w:val="auto"/>
          <w:sz w:val="32"/>
          <w:szCs w:val="32"/>
          <w:u w:val="none"/>
        </w:rPr>
      </w:pPr>
      <w:r>
        <w:rPr>
          <w:rFonts w:hint="eastAsia" w:ascii="楷体" w:hAnsi="楷体" w:eastAsia="楷体" w:cs="楷体"/>
          <w:b w:val="0"/>
          <w:bCs w:val="0"/>
          <w:color w:val="auto"/>
          <w:sz w:val="32"/>
          <w:szCs w:val="32"/>
          <w:u w:val="none"/>
        </w:rPr>
        <w:t>（一）办学场地与设施</w:t>
      </w:r>
    </w:p>
    <w:p>
      <w:pPr>
        <w:pStyle w:val="2"/>
        <w:keepNext w:val="0"/>
        <w:keepLines w:val="0"/>
        <w:pageBreakBefore w:val="0"/>
        <w:kinsoku/>
        <w:wordWrap/>
        <w:overflowPunct/>
        <w:topLinePunct w:val="0"/>
        <w:autoSpaceDE/>
        <w:autoSpaceDN/>
        <w:bidi w:val="0"/>
        <w:spacing w:after="0" w:line="500" w:lineRule="exact"/>
        <w:ind w:firstLine="640" w:firstLineChars="200"/>
        <w:rPr>
          <w:rFonts w:ascii="仿宋" w:hAnsi="仿宋" w:eastAsia="仿宋" w:cs="仿宋"/>
          <w:b w:val="0"/>
          <w:bCs w:val="0"/>
          <w:color w:val="auto"/>
          <w:sz w:val="32"/>
          <w:szCs w:val="32"/>
          <w:u w:val="none"/>
        </w:rPr>
      </w:pPr>
      <w:r>
        <w:rPr>
          <w:rFonts w:hint="eastAsia" w:ascii="仿宋" w:hAnsi="仿宋" w:eastAsia="仿宋" w:cs="仿宋"/>
          <w:b w:val="0"/>
          <w:bCs w:val="0"/>
          <w:color w:val="auto"/>
          <w:sz w:val="32"/>
          <w:szCs w:val="32"/>
          <w:u w:val="none"/>
        </w:rPr>
        <w:t>1.校本部</w:t>
      </w:r>
    </w:p>
    <w:p>
      <w:pPr>
        <w:pStyle w:val="2"/>
        <w:keepNext w:val="0"/>
        <w:keepLines w:val="0"/>
        <w:pageBreakBefore w:val="0"/>
        <w:kinsoku/>
        <w:wordWrap/>
        <w:overflowPunct/>
        <w:topLinePunct w:val="0"/>
        <w:autoSpaceDE/>
        <w:autoSpaceDN/>
        <w:bidi w:val="0"/>
        <w:spacing w:after="0" w:line="500" w:lineRule="exact"/>
        <w:ind w:firstLine="640" w:firstLineChars="200"/>
        <w:rPr>
          <w:rFonts w:ascii="仿宋" w:hAnsi="仿宋" w:eastAsia="仿宋" w:cs="仿宋"/>
          <w:b w:val="0"/>
          <w:bCs w:val="0"/>
          <w:color w:val="auto"/>
          <w:sz w:val="32"/>
          <w:szCs w:val="32"/>
          <w:u w:val="none"/>
        </w:rPr>
      </w:pPr>
      <w:r>
        <w:rPr>
          <w:rFonts w:hint="eastAsia" w:ascii="仿宋" w:hAnsi="仿宋" w:eastAsia="仿宋" w:cs="仿宋"/>
          <w:b w:val="0"/>
          <w:bCs w:val="0"/>
          <w:color w:val="auto"/>
          <w:sz w:val="32"/>
          <w:szCs w:val="32"/>
          <w:u w:val="none"/>
        </w:rPr>
        <w:t>学校占地面积19.57亩，办学用房面积10558平方米，教学楼、信息技术综合楼、办公楼、学生宿舍、实训室、运动场、健身房等一应俱全，一流的现代化信息中心有网络机房4个260座、专业化普通话测试站20座、多功能报告厅3个、多媒体教室25间，普通教室20间，实现了千兆校园网和wifi全覆盖。</w:t>
      </w:r>
    </w:p>
    <w:p>
      <w:pPr>
        <w:pStyle w:val="2"/>
        <w:keepNext w:val="0"/>
        <w:keepLines w:val="0"/>
        <w:pageBreakBefore w:val="0"/>
        <w:kinsoku/>
        <w:wordWrap/>
        <w:overflowPunct/>
        <w:topLinePunct w:val="0"/>
        <w:autoSpaceDE/>
        <w:autoSpaceDN/>
        <w:bidi w:val="0"/>
        <w:spacing w:after="0" w:line="500" w:lineRule="exact"/>
        <w:ind w:firstLine="640" w:firstLineChars="200"/>
        <w:rPr>
          <w:rFonts w:ascii="仿宋" w:hAnsi="仿宋" w:eastAsia="仿宋" w:cs="仿宋"/>
          <w:b/>
          <w:color w:val="auto"/>
          <w:sz w:val="32"/>
          <w:szCs w:val="32"/>
          <w:u w:val="none"/>
        </w:rPr>
      </w:pPr>
      <w:r>
        <w:rPr>
          <w:rFonts w:hint="eastAsia" w:ascii="仿宋" w:hAnsi="仿宋" w:eastAsia="仿宋" w:cs="仿宋"/>
          <w:b w:val="0"/>
          <w:bCs w:val="0"/>
          <w:color w:val="auto"/>
          <w:sz w:val="32"/>
          <w:szCs w:val="32"/>
          <w:u w:val="none"/>
        </w:rPr>
        <w:t>2.校外实践基地</w:t>
      </w:r>
    </w:p>
    <w:p>
      <w:pPr>
        <w:pStyle w:val="2"/>
        <w:keepNext w:val="0"/>
        <w:keepLines w:val="0"/>
        <w:pageBreakBefore w:val="0"/>
        <w:kinsoku/>
        <w:wordWrap/>
        <w:overflowPunct/>
        <w:topLinePunct w:val="0"/>
        <w:autoSpaceDE/>
        <w:autoSpaceDN/>
        <w:bidi w:val="0"/>
        <w:spacing w:after="0" w:line="500" w:lineRule="exact"/>
        <w:ind w:firstLine="640" w:firstLineChars="200"/>
        <w:rPr>
          <w:rFonts w:ascii="仿宋" w:hAnsi="仿宋" w:eastAsia="仿宋" w:cs="仿宋"/>
          <w:color w:val="auto"/>
          <w:kern w:val="0"/>
          <w:sz w:val="32"/>
          <w:szCs w:val="32"/>
          <w:u w:val="none"/>
        </w:rPr>
      </w:pPr>
      <w:r>
        <w:rPr>
          <w:rFonts w:hint="eastAsia" w:ascii="仿宋" w:hAnsi="仿宋" w:eastAsia="仿宋" w:cs="仿宋"/>
          <w:bCs/>
          <w:color w:val="auto"/>
          <w:sz w:val="32"/>
          <w:szCs w:val="32"/>
          <w:u w:val="none"/>
        </w:rPr>
        <w:t>按照国家开放大学建设要求，结合萍乡产业发展特点和学生学习的实际需要，与“萍乡</w:t>
      </w:r>
      <w:r>
        <w:rPr>
          <w:rFonts w:hint="eastAsia" w:ascii="仿宋" w:hAnsi="仿宋" w:eastAsia="仿宋" w:cs="仿宋"/>
          <w:color w:val="auto"/>
          <w:kern w:val="0"/>
          <w:sz w:val="32"/>
          <w:szCs w:val="32"/>
          <w:u w:val="none"/>
        </w:rPr>
        <w:t>市瑞顺生态农业发展有限公司”建立了“一村一”实践基地，并在上栗、湘东等地先后建立了学前教育、建筑、会计等专业的13个实践教学基地，同时学校申报成立了龚全珍师德教育学院思政课协同实践基地，并先后在莲花、芦溪、井冈山等地建立了5个龚全珍师德教育实践基地。</w:t>
      </w:r>
    </w:p>
    <w:p>
      <w:pPr>
        <w:pStyle w:val="2"/>
        <w:keepNext w:val="0"/>
        <w:keepLines w:val="0"/>
        <w:pageBreakBefore w:val="0"/>
        <w:kinsoku/>
        <w:wordWrap/>
        <w:overflowPunct/>
        <w:topLinePunct w:val="0"/>
        <w:autoSpaceDE/>
        <w:autoSpaceDN/>
        <w:bidi w:val="0"/>
        <w:spacing w:after="0" w:line="500" w:lineRule="exact"/>
        <w:ind w:firstLine="640" w:firstLineChars="200"/>
        <w:rPr>
          <w:sz w:val="32"/>
          <w:szCs w:val="32"/>
          <w:u w:val="none"/>
        </w:rPr>
      </w:pPr>
      <w:r>
        <w:rPr>
          <w:rFonts w:hint="eastAsia" w:ascii="仿宋" w:hAnsi="仿宋" w:eastAsia="仿宋" w:cs="仿宋"/>
          <w:color w:val="auto"/>
          <w:kern w:val="0"/>
          <w:sz w:val="32"/>
          <w:szCs w:val="32"/>
          <w:u w:val="none"/>
        </w:rPr>
        <w:t>2021年，</w:t>
      </w:r>
      <w:r>
        <w:rPr>
          <w:rFonts w:hint="eastAsia" w:ascii="仿宋" w:hAnsi="仿宋" w:eastAsia="仿宋" w:cs="仿宋"/>
          <w:color w:val="auto"/>
          <w:kern w:val="0"/>
          <w:sz w:val="32"/>
          <w:szCs w:val="32"/>
          <w:u w:val="none"/>
          <w:lang w:val="en-US" w:eastAsia="zh-CN"/>
        </w:rPr>
        <w:t>学校</w:t>
      </w:r>
      <w:r>
        <w:rPr>
          <w:rFonts w:hint="eastAsia" w:ascii="仿宋" w:hAnsi="仿宋" w:eastAsia="仿宋" w:cs="仿宋"/>
          <w:color w:val="auto"/>
          <w:kern w:val="0"/>
          <w:sz w:val="32"/>
          <w:szCs w:val="32"/>
          <w:u w:val="none"/>
        </w:rPr>
        <w:t>继续拓展基地建设，先后在安源区略下村、青山镇青山村、武功山风景名胜区桂花村、莲花县湖上村、芦溪镇紫溪村等5个乡镇挂牌成立“乡村社区教育创新实践基地”，在北兴众创农业、萍乡市湘东区中竹文化创意有限</w:t>
      </w:r>
      <w:r>
        <w:rPr>
          <w:rFonts w:hint="eastAsia" w:ascii="仿宋" w:hAnsi="仿宋" w:eastAsia="仿宋" w:cs="仿宋"/>
          <w:color w:val="auto"/>
          <w:kern w:val="0"/>
          <w:sz w:val="32"/>
          <w:szCs w:val="32"/>
          <w:u w:val="none"/>
          <w:lang w:eastAsia="zh-CN"/>
        </w:rPr>
        <w:t>公司</w:t>
      </w:r>
      <w:r>
        <w:rPr>
          <w:rFonts w:hint="eastAsia" w:ascii="仿宋" w:hAnsi="仿宋" w:eastAsia="仿宋" w:cs="仿宋"/>
          <w:color w:val="auto"/>
          <w:kern w:val="0"/>
          <w:sz w:val="32"/>
          <w:szCs w:val="32"/>
          <w:u w:val="none"/>
        </w:rPr>
        <w:t>、萍乡市锦旺农业有限公司农业生态园等地挂牌成立了14个“高素质农民实训基地”，为开放教育、高职教育、中职教育、师德培训、高素质农民培训和“一村一名大学生工程”学生实习、实训创造较好的条件。</w:t>
      </w:r>
    </w:p>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rPr>
          <w:rFonts w:ascii="仿宋" w:hAnsi="仿宋" w:eastAsia="仿宋" w:cs="仿宋"/>
          <w:color w:val="auto"/>
          <w:sz w:val="28"/>
          <w:szCs w:val="28"/>
          <w:u w:val="none"/>
        </w:rPr>
      </w:pPr>
      <w:r>
        <w:rPr>
          <w:rFonts w:hint="eastAsia" w:ascii="仿宋" w:hAnsi="仿宋" w:eastAsia="仿宋" w:cs="仿宋"/>
          <w:color w:val="auto"/>
          <w:kern w:val="0"/>
          <w:sz w:val="28"/>
          <w:szCs w:val="28"/>
          <w:u w:val="none"/>
        </w:rPr>
        <w:t>表3-1</w:t>
      </w:r>
      <w:r>
        <w:rPr>
          <w:rFonts w:hint="eastAsia" w:ascii="仿宋" w:hAnsi="仿宋" w:eastAsia="仿宋"/>
          <w:color w:val="auto"/>
          <w:sz w:val="28"/>
          <w:szCs w:val="28"/>
          <w:u w:val="none"/>
        </w:rPr>
        <w:t xml:space="preserve"> 2021</w:t>
      </w:r>
      <w:r>
        <w:rPr>
          <w:rFonts w:hint="eastAsia" w:ascii="仿宋" w:hAnsi="仿宋" w:eastAsia="仿宋" w:cs="仿宋"/>
          <w:color w:val="auto"/>
          <w:kern w:val="0"/>
          <w:sz w:val="28"/>
          <w:szCs w:val="28"/>
          <w:u w:val="none"/>
        </w:rPr>
        <w:t>年度办学场地与设施</w:t>
      </w:r>
    </w:p>
    <w:tbl>
      <w:tblPr>
        <w:tblStyle w:val="11"/>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9"/>
        <w:gridCol w:w="1056"/>
        <w:gridCol w:w="1007"/>
        <w:gridCol w:w="937"/>
        <w:gridCol w:w="826"/>
        <w:gridCol w:w="1337"/>
        <w:gridCol w:w="827"/>
        <w:gridCol w:w="1197"/>
        <w:gridCol w:w="1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7"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p>
        </w:tc>
        <w:tc>
          <w:tcPr>
            <w:tcW w:w="600"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办学场地面积（亩）</w:t>
            </w:r>
          </w:p>
        </w:tc>
        <w:tc>
          <w:tcPr>
            <w:tcW w:w="647"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办学用房面积（平方米）</w:t>
            </w:r>
          </w:p>
        </w:tc>
        <w:tc>
          <w:tcPr>
            <w:tcW w:w="571"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办学用房生均面积（平方米）</w:t>
            </w:r>
          </w:p>
        </w:tc>
        <w:tc>
          <w:tcPr>
            <w:tcW w:w="510"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能容纳30人的教室间数</w:t>
            </w:r>
          </w:p>
        </w:tc>
        <w:tc>
          <w:tcPr>
            <w:tcW w:w="510"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在籍生数与教室数比</w:t>
            </w:r>
          </w:p>
        </w:tc>
        <w:tc>
          <w:tcPr>
            <w:tcW w:w="510"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计算机台数</w:t>
            </w:r>
          </w:p>
        </w:tc>
        <w:tc>
          <w:tcPr>
            <w:tcW w:w="510"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在籍生数与计算机数比</w:t>
            </w:r>
          </w:p>
        </w:tc>
        <w:tc>
          <w:tcPr>
            <w:tcW w:w="622"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实践基地个数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7" w:type="pct"/>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校本部</w:t>
            </w:r>
          </w:p>
        </w:tc>
        <w:tc>
          <w:tcPr>
            <w:tcW w:w="600" w:type="pct"/>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19.57</w:t>
            </w:r>
          </w:p>
        </w:tc>
        <w:tc>
          <w:tcPr>
            <w:tcW w:w="647" w:type="pct"/>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10558</w:t>
            </w:r>
          </w:p>
        </w:tc>
        <w:tc>
          <w:tcPr>
            <w:tcW w:w="571" w:type="pct"/>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1.22</w:t>
            </w:r>
          </w:p>
        </w:tc>
        <w:tc>
          <w:tcPr>
            <w:tcW w:w="510" w:type="pct"/>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50</w:t>
            </w:r>
          </w:p>
        </w:tc>
        <w:tc>
          <w:tcPr>
            <w:tcW w:w="510" w:type="pct"/>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173.74:1</w:t>
            </w:r>
          </w:p>
        </w:tc>
        <w:tc>
          <w:tcPr>
            <w:tcW w:w="510" w:type="pct"/>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407</w:t>
            </w:r>
          </w:p>
        </w:tc>
        <w:tc>
          <w:tcPr>
            <w:tcW w:w="510" w:type="pct"/>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21.34:1</w:t>
            </w:r>
          </w:p>
        </w:tc>
        <w:tc>
          <w:tcPr>
            <w:tcW w:w="622" w:type="pct"/>
            <w:shd w:val="clear" w:color="auto" w:fill="auto"/>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7"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全省排名</w:t>
            </w:r>
          </w:p>
        </w:tc>
        <w:tc>
          <w:tcPr>
            <w:tcW w:w="600"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6</w:t>
            </w:r>
          </w:p>
        </w:tc>
        <w:tc>
          <w:tcPr>
            <w:tcW w:w="647"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6</w:t>
            </w:r>
          </w:p>
        </w:tc>
        <w:tc>
          <w:tcPr>
            <w:tcW w:w="571"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color w:val="auto"/>
                <w:sz w:val="28"/>
                <w:szCs w:val="28"/>
                <w:u w:val="none"/>
                <w:lang w:eastAsia="zh-CN"/>
              </w:rPr>
            </w:pPr>
            <w:r>
              <w:rPr>
                <w:rFonts w:hint="eastAsia" w:ascii="仿宋" w:hAnsi="仿宋" w:eastAsia="仿宋" w:cs="仿宋"/>
                <w:color w:val="auto"/>
                <w:sz w:val="28"/>
                <w:szCs w:val="28"/>
                <w:u w:val="none"/>
                <w:lang w:val="en-US" w:eastAsia="zh-CN"/>
              </w:rPr>
              <w:t>8</w:t>
            </w:r>
          </w:p>
        </w:tc>
        <w:tc>
          <w:tcPr>
            <w:tcW w:w="510"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2</w:t>
            </w:r>
          </w:p>
        </w:tc>
        <w:tc>
          <w:tcPr>
            <w:tcW w:w="510"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color w:val="auto"/>
                <w:sz w:val="28"/>
                <w:szCs w:val="28"/>
                <w:u w:val="none"/>
                <w:lang w:eastAsia="zh-CN"/>
              </w:rPr>
            </w:pPr>
            <w:r>
              <w:rPr>
                <w:rFonts w:hint="eastAsia" w:ascii="仿宋" w:hAnsi="仿宋" w:eastAsia="仿宋" w:cs="仿宋"/>
                <w:color w:val="auto"/>
                <w:sz w:val="28"/>
                <w:szCs w:val="28"/>
                <w:u w:val="none"/>
                <w:lang w:val="en-US" w:eastAsia="zh-CN"/>
              </w:rPr>
              <w:t>7</w:t>
            </w:r>
          </w:p>
        </w:tc>
        <w:tc>
          <w:tcPr>
            <w:tcW w:w="510"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1</w:t>
            </w:r>
          </w:p>
        </w:tc>
        <w:tc>
          <w:tcPr>
            <w:tcW w:w="510"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color w:val="auto"/>
                <w:sz w:val="28"/>
                <w:szCs w:val="28"/>
                <w:u w:val="none"/>
                <w:lang w:eastAsia="zh-CN"/>
              </w:rPr>
            </w:pPr>
            <w:r>
              <w:rPr>
                <w:rFonts w:hint="eastAsia" w:ascii="仿宋" w:hAnsi="仿宋" w:eastAsia="仿宋" w:cs="仿宋"/>
                <w:color w:val="auto"/>
                <w:sz w:val="28"/>
                <w:szCs w:val="28"/>
                <w:u w:val="none"/>
                <w:lang w:val="en-US" w:eastAsia="zh-CN"/>
              </w:rPr>
              <w:t>9</w:t>
            </w:r>
          </w:p>
        </w:tc>
        <w:tc>
          <w:tcPr>
            <w:tcW w:w="622"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ascii="仿宋" w:hAnsi="仿宋" w:eastAsia="仿宋" w:cs="仿宋"/>
                <w:color w:val="auto"/>
                <w:sz w:val="28"/>
                <w:szCs w:val="28"/>
                <w:u w:val="none"/>
              </w:rPr>
            </w:pPr>
            <w:r>
              <w:rPr>
                <w:rFonts w:hint="eastAsia" w:ascii="仿宋" w:hAnsi="仿宋" w:eastAsia="仿宋" w:cs="仿宋"/>
                <w:color w:val="auto"/>
                <w:sz w:val="28"/>
                <w:szCs w:val="28"/>
                <w:u w:val="none"/>
              </w:rPr>
              <w:t>4</w:t>
            </w:r>
          </w:p>
        </w:tc>
      </w:tr>
    </w:tbl>
    <w:p>
      <w:pPr>
        <w:keepNext w:val="0"/>
        <w:keepLines w:val="0"/>
        <w:pageBreakBefore w:val="0"/>
        <w:numPr>
          <w:ilvl w:val="0"/>
          <w:numId w:val="4"/>
        </w:numPr>
        <w:kinsoku/>
        <w:wordWrap/>
        <w:overflowPunct/>
        <w:topLinePunct w:val="0"/>
        <w:autoSpaceDE/>
        <w:autoSpaceDN/>
        <w:bidi w:val="0"/>
        <w:adjustRightInd w:val="0"/>
        <w:snapToGrid w:val="0"/>
        <w:spacing w:line="500" w:lineRule="exact"/>
        <w:ind w:firstLine="640" w:firstLineChars="200"/>
        <w:outlineLvl w:val="1"/>
        <w:rPr>
          <w:rFonts w:hint="eastAsia" w:ascii="楷体" w:hAnsi="楷体" w:eastAsia="楷体" w:cs="楷体"/>
          <w:b w:val="0"/>
          <w:bCs w:val="0"/>
          <w:color w:val="auto"/>
          <w:sz w:val="32"/>
          <w:szCs w:val="32"/>
          <w:u w:val="none"/>
        </w:rPr>
      </w:pPr>
      <w:r>
        <w:rPr>
          <w:rFonts w:hint="eastAsia" w:ascii="楷体" w:hAnsi="楷体" w:eastAsia="楷体" w:cs="楷体"/>
          <w:b w:val="0"/>
          <w:bCs w:val="0"/>
          <w:color w:val="auto"/>
          <w:sz w:val="32"/>
          <w:szCs w:val="32"/>
          <w:u w:val="none"/>
        </w:rPr>
        <w:t>师资队伍</w:t>
      </w:r>
    </w:p>
    <w:p>
      <w:pPr>
        <w:pStyle w:val="2"/>
        <w:keepNext w:val="0"/>
        <w:keepLines w:val="0"/>
        <w:pageBreakBefore w:val="0"/>
        <w:kinsoku/>
        <w:wordWrap/>
        <w:overflowPunct/>
        <w:topLinePunct w:val="0"/>
        <w:autoSpaceDE/>
        <w:autoSpaceDN/>
        <w:bidi w:val="0"/>
        <w:spacing w:after="0" w:line="500" w:lineRule="exact"/>
        <w:ind w:firstLine="640" w:firstLineChars="200"/>
        <w:rPr>
          <w:rFonts w:hint="eastAsia"/>
          <w:sz w:val="32"/>
          <w:szCs w:val="32"/>
          <w:u w:val="none"/>
        </w:rPr>
      </w:pPr>
      <w:r>
        <w:rPr>
          <w:rFonts w:hint="eastAsia" w:ascii="仿宋" w:hAnsi="仿宋" w:eastAsia="仿宋"/>
          <w:color w:val="auto"/>
          <w:sz w:val="32"/>
          <w:szCs w:val="32"/>
          <w:u w:val="none"/>
        </w:rPr>
        <w:t>全市办学系统现有423名教师，开放教育生师比为16.3：1。其中，</w:t>
      </w:r>
      <w:r>
        <w:rPr>
          <w:rFonts w:hint="eastAsia" w:ascii="仿宋" w:hAnsi="仿宋" w:eastAsia="仿宋"/>
          <w:color w:val="auto"/>
          <w:sz w:val="32"/>
          <w:szCs w:val="32"/>
          <w:u w:val="none"/>
          <w:lang w:val="en-US" w:eastAsia="zh-CN"/>
        </w:rPr>
        <w:t>348</w:t>
      </w:r>
      <w:r>
        <w:rPr>
          <w:rFonts w:hint="eastAsia" w:ascii="仿宋" w:hAnsi="仿宋" w:eastAsia="仿宋"/>
          <w:color w:val="auto"/>
          <w:sz w:val="32"/>
          <w:szCs w:val="32"/>
          <w:u w:val="none"/>
        </w:rPr>
        <w:t>名专职教师（副高级以上职称教师1</w:t>
      </w:r>
      <w:r>
        <w:rPr>
          <w:rFonts w:hint="eastAsia" w:ascii="仿宋" w:hAnsi="仿宋" w:eastAsia="仿宋"/>
          <w:color w:val="auto"/>
          <w:sz w:val="32"/>
          <w:szCs w:val="32"/>
          <w:u w:val="none"/>
          <w:lang w:val="en-US" w:eastAsia="zh-CN"/>
        </w:rPr>
        <w:t>33</w:t>
      </w:r>
      <w:r>
        <w:rPr>
          <w:rFonts w:hint="eastAsia" w:ascii="仿宋" w:hAnsi="仿宋" w:eastAsia="仿宋"/>
          <w:color w:val="auto"/>
          <w:sz w:val="32"/>
          <w:szCs w:val="32"/>
          <w:u w:val="none"/>
        </w:rPr>
        <w:t>名，中级职称教师88名，硕士研究生1</w:t>
      </w:r>
      <w:r>
        <w:rPr>
          <w:rFonts w:hint="eastAsia" w:ascii="仿宋" w:hAnsi="仿宋" w:eastAsia="仿宋"/>
          <w:color w:val="auto"/>
          <w:sz w:val="32"/>
          <w:szCs w:val="32"/>
          <w:u w:val="none"/>
          <w:lang w:val="en-US" w:eastAsia="zh-CN"/>
        </w:rPr>
        <w:t>1</w:t>
      </w:r>
      <w:r>
        <w:rPr>
          <w:rFonts w:hint="eastAsia" w:ascii="仿宋" w:hAnsi="仿宋" w:eastAsia="仿宋"/>
          <w:color w:val="auto"/>
          <w:sz w:val="32"/>
          <w:szCs w:val="32"/>
          <w:u w:val="none"/>
        </w:rPr>
        <w:t>名）；聘任兼职教师7</w:t>
      </w:r>
      <w:r>
        <w:rPr>
          <w:rFonts w:hint="eastAsia" w:ascii="仿宋" w:hAnsi="仿宋" w:eastAsia="仿宋"/>
          <w:color w:val="auto"/>
          <w:sz w:val="32"/>
          <w:szCs w:val="32"/>
          <w:u w:val="none"/>
          <w:lang w:val="en-US" w:eastAsia="zh-CN"/>
        </w:rPr>
        <w:t>5</w:t>
      </w:r>
      <w:r>
        <w:rPr>
          <w:rFonts w:hint="eastAsia" w:ascii="仿宋" w:hAnsi="仿宋" w:eastAsia="仿宋"/>
          <w:color w:val="auto"/>
          <w:sz w:val="32"/>
          <w:szCs w:val="32"/>
          <w:u w:val="none"/>
        </w:rPr>
        <w:t>名。</w:t>
      </w:r>
    </w:p>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kern w:val="2"/>
          <w:sz w:val="28"/>
          <w:szCs w:val="28"/>
          <w:highlight w:val="none"/>
          <w:u w:val="none"/>
          <w:lang w:val="en-US" w:eastAsia="zh-CN" w:bidi="ar-SA"/>
        </w:rPr>
        <w:t xml:space="preserve">表3-2 </w:t>
      </w:r>
      <w:r>
        <w:rPr>
          <w:rFonts w:hint="eastAsia" w:ascii="仿宋" w:hAnsi="仿宋" w:eastAsia="仿宋" w:cs="仿宋"/>
          <w:color w:val="auto"/>
          <w:sz w:val="28"/>
          <w:szCs w:val="28"/>
          <w:highlight w:val="none"/>
          <w:u w:val="none"/>
          <w:lang w:val="en-US" w:eastAsia="zh-CN"/>
        </w:rPr>
        <w:t>2021</w:t>
      </w:r>
      <w:r>
        <w:rPr>
          <w:rFonts w:hint="eastAsia" w:ascii="仿宋" w:hAnsi="仿宋" w:eastAsia="仿宋" w:cs="仿宋"/>
          <w:color w:val="auto"/>
          <w:kern w:val="2"/>
          <w:sz w:val="28"/>
          <w:szCs w:val="28"/>
          <w:highlight w:val="none"/>
          <w:u w:val="none"/>
          <w:lang w:val="en-US" w:eastAsia="zh-CN" w:bidi="ar-SA"/>
        </w:rPr>
        <w:t>年度教师情况</w:t>
      </w:r>
    </w:p>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outlineLvl w:val="1"/>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2"/>
          <w:sz w:val="28"/>
          <w:szCs w:val="28"/>
          <w:highlight w:val="none"/>
          <w:u w:val="none"/>
          <w:lang w:val="en-US" w:eastAsia="zh-CN" w:bidi="ar-SA"/>
        </w:rPr>
        <w:t>校内教师数量与结构</w:t>
      </w:r>
    </w:p>
    <w:tbl>
      <w:tblPr>
        <w:tblStyle w:val="10"/>
        <w:tblW w:w="4998" w:type="pct"/>
        <w:tblInd w:w="0" w:type="dxa"/>
        <w:tblLayout w:type="autofit"/>
        <w:tblCellMar>
          <w:top w:w="0" w:type="dxa"/>
          <w:left w:w="108" w:type="dxa"/>
          <w:bottom w:w="0" w:type="dxa"/>
          <w:right w:w="108" w:type="dxa"/>
        </w:tblCellMar>
      </w:tblPr>
      <w:tblGrid>
        <w:gridCol w:w="1200"/>
        <w:gridCol w:w="808"/>
        <w:gridCol w:w="779"/>
        <w:gridCol w:w="919"/>
        <w:gridCol w:w="917"/>
        <w:gridCol w:w="921"/>
        <w:gridCol w:w="718"/>
        <w:gridCol w:w="797"/>
        <w:gridCol w:w="745"/>
        <w:gridCol w:w="640"/>
        <w:gridCol w:w="613"/>
      </w:tblGrid>
      <w:tr>
        <w:tblPrEx>
          <w:tblCellMar>
            <w:top w:w="0" w:type="dxa"/>
            <w:left w:w="108" w:type="dxa"/>
            <w:bottom w:w="0" w:type="dxa"/>
            <w:right w:w="108" w:type="dxa"/>
          </w:tblCellMar>
        </w:tblPrEx>
        <w:trPr>
          <w:trHeight w:val="340" w:hRule="atLeast"/>
        </w:trPr>
        <w:tc>
          <w:tcPr>
            <w:tcW w:w="663" w:type="pct"/>
            <w:vMerge w:val="restar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单位</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名称</w:t>
            </w:r>
          </w:p>
        </w:tc>
        <w:tc>
          <w:tcPr>
            <w:tcW w:w="446" w:type="pct"/>
            <w:vMerge w:val="restar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lang w:eastAsia="zh-CN"/>
              </w:rPr>
              <w:t>在</w:t>
            </w:r>
            <w:r>
              <w:rPr>
                <w:rFonts w:hint="eastAsia" w:ascii="仿宋" w:hAnsi="仿宋" w:eastAsia="仿宋" w:cs="仿宋"/>
                <w:color w:val="auto"/>
                <w:sz w:val="28"/>
                <w:szCs w:val="28"/>
                <w:highlight w:val="none"/>
                <w:u w:val="none"/>
              </w:rPr>
              <w:t>职教师人数</w:t>
            </w:r>
          </w:p>
        </w:tc>
        <w:tc>
          <w:tcPr>
            <w:tcW w:w="1951" w:type="pct"/>
            <w:gridSpan w:val="4"/>
            <w:tcBorders>
              <w:top w:val="single" w:color="auto" w:sz="4" w:space="0"/>
              <w:left w:val="nil"/>
              <w:bottom w:val="single" w:color="auto" w:sz="4" w:space="0"/>
              <w:right w:val="single" w:color="auto" w:sz="4" w:space="0"/>
            </w:tcBorders>
            <w:shd w:val="clear" w:color="auto" w:fill="D7D7D7" w:themeFill="background1" w:themeFillShade="D8"/>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职称情况</w:t>
            </w:r>
          </w:p>
        </w:tc>
        <w:tc>
          <w:tcPr>
            <w:tcW w:w="1938" w:type="pct"/>
            <w:gridSpan w:val="5"/>
            <w:tcBorders>
              <w:top w:val="single" w:color="auto" w:sz="4" w:space="0"/>
              <w:left w:val="nil"/>
              <w:bottom w:val="single" w:color="auto" w:sz="4" w:space="0"/>
              <w:right w:val="single" w:color="auto" w:sz="4" w:space="0"/>
            </w:tcBorders>
            <w:shd w:val="clear" w:color="auto" w:fill="D7D7D7" w:themeFill="background1" w:themeFillShade="D8"/>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学历情况</w:t>
            </w:r>
          </w:p>
        </w:tc>
      </w:tr>
      <w:tr>
        <w:tblPrEx>
          <w:tblCellMar>
            <w:top w:w="0" w:type="dxa"/>
            <w:left w:w="108" w:type="dxa"/>
            <w:bottom w:w="0" w:type="dxa"/>
            <w:right w:w="108" w:type="dxa"/>
          </w:tblCellMar>
        </w:tblPrEx>
        <w:trPr>
          <w:trHeight w:val="340" w:hRule="atLeast"/>
        </w:trPr>
        <w:tc>
          <w:tcPr>
            <w:tcW w:w="663" w:type="pct"/>
            <w:vMerge w:val="continue"/>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p>
        </w:tc>
        <w:tc>
          <w:tcPr>
            <w:tcW w:w="446" w:type="pct"/>
            <w:vMerge w:val="continue"/>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p>
        </w:tc>
        <w:tc>
          <w:tcPr>
            <w:tcW w:w="430"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正高职称人数</w:t>
            </w:r>
          </w:p>
        </w:tc>
        <w:tc>
          <w:tcPr>
            <w:tcW w:w="507"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副高职称人数</w:t>
            </w:r>
          </w:p>
        </w:tc>
        <w:tc>
          <w:tcPr>
            <w:tcW w:w="506"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中级职称人数</w:t>
            </w:r>
          </w:p>
        </w:tc>
        <w:tc>
          <w:tcPr>
            <w:tcW w:w="507"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中级以下职称人数</w:t>
            </w:r>
          </w:p>
        </w:tc>
        <w:tc>
          <w:tcPr>
            <w:tcW w:w="396"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博士生人数</w:t>
            </w:r>
          </w:p>
        </w:tc>
        <w:tc>
          <w:tcPr>
            <w:tcW w:w="440"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硕士生人数</w:t>
            </w:r>
          </w:p>
        </w:tc>
        <w:tc>
          <w:tcPr>
            <w:tcW w:w="411"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本科人数</w:t>
            </w:r>
          </w:p>
        </w:tc>
        <w:tc>
          <w:tcPr>
            <w:tcW w:w="35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大专人数</w:t>
            </w:r>
          </w:p>
        </w:tc>
        <w:tc>
          <w:tcPr>
            <w:tcW w:w="336"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大专以下人数</w:t>
            </w:r>
          </w:p>
        </w:tc>
      </w:tr>
      <w:tr>
        <w:tblPrEx>
          <w:tblCellMar>
            <w:top w:w="0" w:type="dxa"/>
            <w:left w:w="108" w:type="dxa"/>
            <w:bottom w:w="0" w:type="dxa"/>
            <w:right w:w="108" w:type="dxa"/>
          </w:tblCellMar>
        </w:tblPrEx>
        <w:trPr>
          <w:trHeight w:val="340" w:hRule="atLeast"/>
        </w:trPr>
        <w:tc>
          <w:tcPr>
            <w:tcW w:w="66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校本部</w:t>
            </w:r>
          </w:p>
        </w:tc>
        <w:tc>
          <w:tcPr>
            <w:tcW w:w="44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161</w:t>
            </w:r>
          </w:p>
        </w:tc>
        <w:tc>
          <w:tcPr>
            <w:tcW w:w="43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1</w:t>
            </w:r>
          </w:p>
        </w:tc>
        <w:tc>
          <w:tcPr>
            <w:tcW w:w="507"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78</w:t>
            </w:r>
          </w:p>
        </w:tc>
        <w:tc>
          <w:tcPr>
            <w:tcW w:w="50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43</w:t>
            </w:r>
          </w:p>
        </w:tc>
        <w:tc>
          <w:tcPr>
            <w:tcW w:w="507"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39</w:t>
            </w:r>
          </w:p>
        </w:tc>
        <w:tc>
          <w:tcPr>
            <w:tcW w:w="39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0</w:t>
            </w:r>
          </w:p>
        </w:tc>
        <w:tc>
          <w:tcPr>
            <w:tcW w:w="44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9</w:t>
            </w:r>
          </w:p>
        </w:tc>
        <w:tc>
          <w:tcPr>
            <w:tcW w:w="411"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152</w:t>
            </w:r>
          </w:p>
        </w:tc>
        <w:tc>
          <w:tcPr>
            <w:tcW w:w="353"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0</w:t>
            </w:r>
          </w:p>
        </w:tc>
        <w:tc>
          <w:tcPr>
            <w:tcW w:w="33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0</w:t>
            </w:r>
          </w:p>
        </w:tc>
      </w:tr>
      <w:tr>
        <w:tblPrEx>
          <w:tblCellMar>
            <w:top w:w="0" w:type="dxa"/>
            <w:left w:w="108" w:type="dxa"/>
            <w:bottom w:w="0" w:type="dxa"/>
            <w:right w:w="108" w:type="dxa"/>
          </w:tblCellMar>
        </w:tblPrEx>
        <w:trPr>
          <w:trHeight w:val="340" w:hRule="atLeast"/>
        </w:trPr>
        <w:tc>
          <w:tcPr>
            <w:tcW w:w="66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所辖县级机构汇总</w:t>
            </w:r>
          </w:p>
        </w:tc>
        <w:tc>
          <w:tcPr>
            <w:tcW w:w="44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187</w:t>
            </w:r>
          </w:p>
        </w:tc>
        <w:tc>
          <w:tcPr>
            <w:tcW w:w="43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19</w:t>
            </w:r>
          </w:p>
        </w:tc>
        <w:tc>
          <w:tcPr>
            <w:tcW w:w="507"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55</w:t>
            </w:r>
          </w:p>
        </w:tc>
        <w:tc>
          <w:tcPr>
            <w:tcW w:w="50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45</w:t>
            </w:r>
          </w:p>
        </w:tc>
        <w:tc>
          <w:tcPr>
            <w:tcW w:w="507"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68</w:t>
            </w:r>
          </w:p>
        </w:tc>
        <w:tc>
          <w:tcPr>
            <w:tcW w:w="39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0</w:t>
            </w:r>
          </w:p>
        </w:tc>
        <w:tc>
          <w:tcPr>
            <w:tcW w:w="44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2</w:t>
            </w:r>
          </w:p>
        </w:tc>
        <w:tc>
          <w:tcPr>
            <w:tcW w:w="411"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185</w:t>
            </w:r>
          </w:p>
        </w:tc>
        <w:tc>
          <w:tcPr>
            <w:tcW w:w="353"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0</w:t>
            </w:r>
          </w:p>
        </w:tc>
        <w:tc>
          <w:tcPr>
            <w:tcW w:w="33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0</w:t>
            </w:r>
          </w:p>
        </w:tc>
      </w:tr>
    </w:tbl>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outlineLvl w:val="1"/>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val="en-US" w:eastAsia="zh-CN" w:bidi="ar-SA"/>
        </w:rPr>
        <w:t>校外聘任教师数量与结构</w:t>
      </w:r>
    </w:p>
    <w:tbl>
      <w:tblPr>
        <w:tblStyle w:val="10"/>
        <w:tblW w:w="4999" w:type="pct"/>
        <w:tblInd w:w="0" w:type="dxa"/>
        <w:tblLayout w:type="autofit"/>
        <w:tblCellMar>
          <w:top w:w="0" w:type="dxa"/>
          <w:left w:w="108" w:type="dxa"/>
          <w:bottom w:w="0" w:type="dxa"/>
          <w:right w:w="108" w:type="dxa"/>
        </w:tblCellMar>
      </w:tblPr>
      <w:tblGrid>
        <w:gridCol w:w="1201"/>
        <w:gridCol w:w="671"/>
        <w:gridCol w:w="917"/>
        <w:gridCol w:w="919"/>
        <w:gridCol w:w="917"/>
        <w:gridCol w:w="921"/>
        <w:gridCol w:w="718"/>
        <w:gridCol w:w="798"/>
        <w:gridCol w:w="585"/>
        <w:gridCol w:w="798"/>
        <w:gridCol w:w="614"/>
      </w:tblGrid>
      <w:tr>
        <w:tblPrEx>
          <w:tblCellMar>
            <w:top w:w="0" w:type="dxa"/>
            <w:left w:w="108" w:type="dxa"/>
            <w:bottom w:w="0" w:type="dxa"/>
            <w:right w:w="108" w:type="dxa"/>
          </w:tblCellMar>
        </w:tblPrEx>
        <w:trPr>
          <w:trHeight w:val="340" w:hRule="atLeast"/>
        </w:trPr>
        <w:tc>
          <w:tcPr>
            <w:tcW w:w="663" w:type="pct"/>
            <w:vMerge w:val="restar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单位</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名称</w:t>
            </w:r>
          </w:p>
        </w:tc>
        <w:tc>
          <w:tcPr>
            <w:tcW w:w="370" w:type="pct"/>
            <w:vMerge w:val="restar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lang w:eastAsia="zh-CN"/>
              </w:rPr>
              <w:t>兼</w:t>
            </w:r>
            <w:r>
              <w:rPr>
                <w:rFonts w:hint="eastAsia" w:ascii="仿宋" w:hAnsi="仿宋" w:eastAsia="仿宋" w:cs="仿宋"/>
                <w:color w:val="auto"/>
                <w:sz w:val="28"/>
                <w:szCs w:val="28"/>
                <w:highlight w:val="none"/>
                <w:u w:val="none"/>
              </w:rPr>
              <w:t>职教师人数</w:t>
            </w:r>
          </w:p>
        </w:tc>
        <w:tc>
          <w:tcPr>
            <w:tcW w:w="2027" w:type="pct"/>
            <w:gridSpan w:val="4"/>
            <w:tcBorders>
              <w:top w:val="single" w:color="auto" w:sz="4" w:space="0"/>
              <w:left w:val="nil"/>
              <w:bottom w:val="single" w:color="auto" w:sz="4" w:space="0"/>
              <w:right w:val="single" w:color="auto" w:sz="4" w:space="0"/>
            </w:tcBorders>
            <w:shd w:val="clear" w:color="auto" w:fill="D7D7D7" w:themeFill="background1" w:themeFillShade="D8"/>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职称情况</w:t>
            </w:r>
          </w:p>
        </w:tc>
        <w:tc>
          <w:tcPr>
            <w:tcW w:w="1938" w:type="pct"/>
            <w:gridSpan w:val="5"/>
            <w:tcBorders>
              <w:top w:val="single" w:color="auto" w:sz="4" w:space="0"/>
              <w:left w:val="nil"/>
              <w:bottom w:val="single" w:color="auto" w:sz="4" w:space="0"/>
              <w:right w:val="single" w:color="auto" w:sz="4" w:space="0"/>
            </w:tcBorders>
            <w:shd w:val="clear" w:color="auto" w:fill="D7D7D7" w:themeFill="background1" w:themeFillShade="D8"/>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学历情况</w:t>
            </w:r>
          </w:p>
        </w:tc>
      </w:tr>
      <w:tr>
        <w:tblPrEx>
          <w:tblCellMar>
            <w:top w:w="0" w:type="dxa"/>
            <w:left w:w="108" w:type="dxa"/>
            <w:bottom w:w="0" w:type="dxa"/>
            <w:right w:w="108" w:type="dxa"/>
          </w:tblCellMar>
        </w:tblPrEx>
        <w:trPr>
          <w:trHeight w:val="340" w:hRule="atLeast"/>
        </w:trPr>
        <w:tc>
          <w:tcPr>
            <w:tcW w:w="663" w:type="pct"/>
            <w:vMerge w:val="continue"/>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p>
        </w:tc>
        <w:tc>
          <w:tcPr>
            <w:tcW w:w="370" w:type="pct"/>
            <w:vMerge w:val="continue"/>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p>
        </w:tc>
        <w:tc>
          <w:tcPr>
            <w:tcW w:w="506"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正高职称人数</w:t>
            </w:r>
          </w:p>
        </w:tc>
        <w:tc>
          <w:tcPr>
            <w:tcW w:w="507"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副高职称人数</w:t>
            </w:r>
          </w:p>
        </w:tc>
        <w:tc>
          <w:tcPr>
            <w:tcW w:w="506"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中级职称人数</w:t>
            </w:r>
          </w:p>
        </w:tc>
        <w:tc>
          <w:tcPr>
            <w:tcW w:w="508"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中级以下职称人数</w:t>
            </w:r>
          </w:p>
        </w:tc>
        <w:tc>
          <w:tcPr>
            <w:tcW w:w="396"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博士生人数</w:t>
            </w:r>
          </w:p>
        </w:tc>
        <w:tc>
          <w:tcPr>
            <w:tcW w:w="440"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硕士生人数</w:t>
            </w:r>
          </w:p>
        </w:tc>
        <w:tc>
          <w:tcPr>
            <w:tcW w:w="32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本科人数</w:t>
            </w:r>
          </w:p>
        </w:tc>
        <w:tc>
          <w:tcPr>
            <w:tcW w:w="440"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大专人数</w:t>
            </w:r>
          </w:p>
        </w:tc>
        <w:tc>
          <w:tcPr>
            <w:tcW w:w="336"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大专以下人数</w:t>
            </w:r>
          </w:p>
        </w:tc>
      </w:tr>
      <w:tr>
        <w:tblPrEx>
          <w:tblCellMar>
            <w:top w:w="0" w:type="dxa"/>
            <w:left w:w="108" w:type="dxa"/>
            <w:bottom w:w="0" w:type="dxa"/>
            <w:right w:w="108" w:type="dxa"/>
          </w:tblCellMar>
        </w:tblPrEx>
        <w:trPr>
          <w:trHeight w:val="340" w:hRule="atLeast"/>
        </w:trPr>
        <w:tc>
          <w:tcPr>
            <w:tcW w:w="66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rPr>
            </w:pPr>
            <w:r>
              <w:rPr>
                <w:rFonts w:hint="eastAsia" w:ascii="仿宋" w:hAnsi="仿宋" w:eastAsia="仿宋" w:cs="仿宋"/>
                <w:color w:val="auto"/>
                <w:sz w:val="28"/>
                <w:szCs w:val="28"/>
                <w:highlight w:val="none"/>
                <w:u w:val="none"/>
              </w:rPr>
              <w:t>校本部</w:t>
            </w:r>
          </w:p>
        </w:tc>
        <w:tc>
          <w:tcPr>
            <w:tcW w:w="37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kern w:val="2"/>
                <w:sz w:val="28"/>
                <w:szCs w:val="28"/>
                <w:highlight w:val="none"/>
                <w:u w:val="none"/>
                <w:lang w:val="en-US" w:eastAsia="zh-CN" w:bidi="ar-SA"/>
              </w:rPr>
              <w:t>58</w:t>
            </w:r>
          </w:p>
        </w:tc>
        <w:tc>
          <w:tcPr>
            <w:tcW w:w="50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kern w:val="2"/>
                <w:sz w:val="28"/>
                <w:szCs w:val="28"/>
                <w:highlight w:val="none"/>
                <w:u w:val="none"/>
                <w:lang w:val="en-US" w:eastAsia="zh-CN" w:bidi="ar-SA"/>
              </w:rPr>
              <w:t>3</w:t>
            </w:r>
          </w:p>
        </w:tc>
        <w:tc>
          <w:tcPr>
            <w:tcW w:w="507"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kern w:val="2"/>
                <w:sz w:val="28"/>
                <w:szCs w:val="28"/>
                <w:highlight w:val="none"/>
                <w:u w:val="none"/>
                <w:lang w:val="en-US" w:eastAsia="zh-CN" w:bidi="ar-SA"/>
              </w:rPr>
              <w:t>23</w:t>
            </w:r>
          </w:p>
        </w:tc>
        <w:tc>
          <w:tcPr>
            <w:tcW w:w="50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kern w:val="2"/>
                <w:sz w:val="28"/>
                <w:szCs w:val="28"/>
                <w:highlight w:val="none"/>
                <w:u w:val="none"/>
                <w:lang w:val="en-US" w:eastAsia="zh-CN" w:bidi="ar-SA"/>
              </w:rPr>
              <w:t>28</w:t>
            </w:r>
          </w:p>
        </w:tc>
        <w:tc>
          <w:tcPr>
            <w:tcW w:w="508"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kern w:val="2"/>
                <w:sz w:val="28"/>
                <w:szCs w:val="28"/>
                <w:highlight w:val="none"/>
                <w:u w:val="none"/>
                <w:lang w:val="en-US" w:eastAsia="zh-CN" w:bidi="ar-SA"/>
              </w:rPr>
              <w:t>4</w:t>
            </w:r>
          </w:p>
        </w:tc>
        <w:tc>
          <w:tcPr>
            <w:tcW w:w="39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kern w:val="2"/>
                <w:sz w:val="28"/>
                <w:szCs w:val="28"/>
                <w:highlight w:val="none"/>
                <w:u w:val="none"/>
                <w:lang w:val="en-US" w:eastAsia="zh-CN" w:bidi="ar-SA"/>
              </w:rPr>
              <w:t>1</w:t>
            </w:r>
          </w:p>
        </w:tc>
        <w:tc>
          <w:tcPr>
            <w:tcW w:w="44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kern w:val="2"/>
                <w:sz w:val="28"/>
                <w:szCs w:val="28"/>
                <w:highlight w:val="none"/>
                <w:u w:val="none"/>
                <w:lang w:val="en-US" w:eastAsia="zh-CN" w:bidi="ar-SA"/>
              </w:rPr>
              <w:t>17</w:t>
            </w:r>
          </w:p>
        </w:tc>
        <w:tc>
          <w:tcPr>
            <w:tcW w:w="323"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kern w:val="2"/>
                <w:sz w:val="28"/>
                <w:szCs w:val="28"/>
                <w:highlight w:val="none"/>
                <w:u w:val="none"/>
                <w:lang w:val="en-US" w:eastAsia="zh-CN" w:bidi="ar-SA"/>
              </w:rPr>
              <w:t>40</w:t>
            </w:r>
          </w:p>
        </w:tc>
        <w:tc>
          <w:tcPr>
            <w:tcW w:w="44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kern w:val="2"/>
                <w:sz w:val="28"/>
                <w:szCs w:val="28"/>
                <w:highlight w:val="none"/>
                <w:u w:val="none"/>
                <w:lang w:val="en-US" w:eastAsia="zh-CN" w:bidi="ar-SA"/>
              </w:rPr>
              <w:t>0</w:t>
            </w:r>
          </w:p>
        </w:tc>
        <w:tc>
          <w:tcPr>
            <w:tcW w:w="33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0</w:t>
            </w:r>
          </w:p>
        </w:tc>
      </w:tr>
      <w:tr>
        <w:tblPrEx>
          <w:tblCellMar>
            <w:top w:w="0" w:type="dxa"/>
            <w:left w:w="108" w:type="dxa"/>
            <w:bottom w:w="0" w:type="dxa"/>
            <w:right w:w="108" w:type="dxa"/>
          </w:tblCellMar>
        </w:tblPrEx>
        <w:trPr>
          <w:trHeight w:val="340" w:hRule="atLeast"/>
        </w:trPr>
        <w:tc>
          <w:tcPr>
            <w:tcW w:w="66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所辖县级机构汇总</w:t>
            </w:r>
          </w:p>
        </w:tc>
        <w:tc>
          <w:tcPr>
            <w:tcW w:w="37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17</w:t>
            </w:r>
          </w:p>
        </w:tc>
        <w:tc>
          <w:tcPr>
            <w:tcW w:w="50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2</w:t>
            </w:r>
          </w:p>
        </w:tc>
        <w:tc>
          <w:tcPr>
            <w:tcW w:w="507"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8</w:t>
            </w:r>
          </w:p>
        </w:tc>
        <w:tc>
          <w:tcPr>
            <w:tcW w:w="50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7</w:t>
            </w:r>
          </w:p>
        </w:tc>
        <w:tc>
          <w:tcPr>
            <w:tcW w:w="508"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0</w:t>
            </w:r>
          </w:p>
        </w:tc>
        <w:tc>
          <w:tcPr>
            <w:tcW w:w="39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0</w:t>
            </w:r>
          </w:p>
        </w:tc>
        <w:tc>
          <w:tcPr>
            <w:tcW w:w="44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2</w:t>
            </w:r>
          </w:p>
        </w:tc>
        <w:tc>
          <w:tcPr>
            <w:tcW w:w="323"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15</w:t>
            </w:r>
          </w:p>
        </w:tc>
        <w:tc>
          <w:tcPr>
            <w:tcW w:w="44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0</w:t>
            </w:r>
          </w:p>
        </w:tc>
        <w:tc>
          <w:tcPr>
            <w:tcW w:w="33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0</w:t>
            </w:r>
          </w:p>
        </w:tc>
      </w:tr>
    </w:tbl>
    <w:p>
      <w:pPr>
        <w:pStyle w:val="2"/>
        <w:keepNext w:val="0"/>
        <w:keepLines w:val="0"/>
        <w:pageBreakBefore w:val="0"/>
        <w:kinsoku/>
        <w:wordWrap/>
        <w:overflowPunct/>
        <w:topLinePunct w:val="0"/>
        <w:autoSpaceDE/>
        <w:autoSpaceDN/>
        <w:bidi w:val="0"/>
        <w:spacing w:after="0" w:line="500" w:lineRule="exact"/>
        <w:ind w:firstLine="640" w:firstLineChars="200"/>
        <w:jc w:val="both"/>
        <w:textAlignment w:val="auto"/>
        <w:outlineLvl w:val="0"/>
        <w:rPr>
          <w:rFonts w:ascii="黑体" w:hAnsi="黑体" w:eastAsia="黑体" w:cs="黑体"/>
          <w:color w:val="auto"/>
          <w:sz w:val="32"/>
          <w:szCs w:val="32"/>
          <w:u w:val="none"/>
        </w:rPr>
      </w:pPr>
      <w:r>
        <w:rPr>
          <w:rFonts w:hint="eastAsia" w:ascii="黑体" w:hAnsi="黑体" w:eastAsia="黑体" w:cs="黑体"/>
          <w:color w:val="auto"/>
          <w:sz w:val="32"/>
          <w:szCs w:val="32"/>
          <w:u w:val="none"/>
        </w:rPr>
        <w:t>四、科学研究和特色创新</w:t>
      </w:r>
    </w:p>
    <w:p>
      <w:pPr>
        <w:keepNext w:val="0"/>
        <w:keepLines w:val="0"/>
        <w:pageBreakBefore w:val="0"/>
        <w:kinsoku/>
        <w:wordWrap/>
        <w:overflowPunct/>
        <w:topLinePunct w:val="0"/>
        <w:autoSpaceDE/>
        <w:autoSpaceDN/>
        <w:bidi w:val="0"/>
        <w:adjustRightInd w:val="0"/>
        <w:snapToGrid w:val="0"/>
        <w:spacing w:line="500" w:lineRule="exact"/>
        <w:ind w:firstLine="640" w:firstLineChars="200"/>
        <w:jc w:val="both"/>
        <w:textAlignment w:val="auto"/>
        <w:outlineLvl w:val="1"/>
        <w:rPr>
          <w:rFonts w:hint="eastAsia" w:ascii="楷体" w:hAnsi="楷体" w:eastAsia="楷体" w:cs="楷体"/>
          <w:b w:val="0"/>
          <w:bCs w:val="0"/>
          <w:color w:val="auto"/>
          <w:sz w:val="32"/>
          <w:szCs w:val="32"/>
          <w:u w:val="none"/>
        </w:rPr>
      </w:pPr>
      <w:r>
        <w:rPr>
          <w:rFonts w:hint="eastAsia" w:ascii="楷体" w:hAnsi="楷体" w:eastAsia="楷体" w:cs="楷体"/>
          <w:b w:val="0"/>
          <w:bCs w:val="0"/>
          <w:color w:val="auto"/>
          <w:sz w:val="32"/>
          <w:szCs w:val="32"/>
          <w:u w:val="none"/>
        </w:rPr>
        <w:t>（一）科学研究</w:t>
      </w:r>
    </w:p>
    <w:p>
      <w:pPr>
        <w:pStyle w:val="2"/>
        <w:keepNext w:val="0"/>
        <w:keepLines w:val="0"/>
        <w:pageBreakBefore w:val="0"/>
        <w:widowControl w:val="0"/>
        <w:kinsoku/>
        <w:wordWrap/>
        <w:overflowPunct/>
        <w:topLinePunct w:val="0"/>
        <w:autoSpaceDE/>
        <w:autoSpaceDN/>
        <w:bidi w:val="0"/>
        <w:spacing w:after="0" w:line="500" w:lineRule="exact"/>
        <w:ind w:firstLine="640" w:firstLineChars="200"/>
        <w:jc w:val="both"/>
        <w:textAlignment w:val="auto"/>
        <w:rPr>
          <w:rFonts w:ascii="仿宋" w:hAnsi="仿宋" w:eastAsia="仿宋" w:cs="仿宋"/>
          <w:color w:val="auto"/>
          <w:sz w:val="32"/>
          <w:szCs w:val="32"/>
          <w:u w:val="none"/>
        </w:rPr>
      </w:pPr>
      <w:r>
        <w:rPr>
          <w:rFonts w:hint="eastAsia" w:ascii="仿宋" w:hAnsi="仿宋" w:eastAsia="仿宋" w:cs="仿宋"/>
          <w:color w:val="auto"/>
          <w:sz w:val="32"/>
          <w:szCs w:val="32"/>
          <w:u w:val="none"/>
        </w:rPr>
        <w:t>学校重视发挥科研工作的引领与服务作用，由教学处安排专人负责科研工作，积极开展学术研究。宋福坚主持的课题《继续教育“立德树人”机制研究—以师德师风教育为例》、蒋健萍主持的课题《“互联网+”时代成人高等教育教学模式探究—以电大开放教育为例》获得省</w:t>
      </w:r>
      <w:r>
        <w:rPr>
          <w:rFonts w:hint="eastAsia" w:ascii="仿宋" w:hAnsi="仿宋" w:eastAsia="仿宋" w:cs="仿宋"/>
          <w:color w:val="auto"/>
          <w:sz w:val="32"/>
          <w:szCs w:val="32"/>
          <w:u w:val="none"/>
          <w:lang w:val="en-US" w:eastAsia="zh-CN"/>
        </w:rPr>
        <w:t>校</w:t>
      </w:r>
      <w:r>
        <w:rPr>
          <w:rFonts w:hint="eastAsia" w:ascii="仿宋" w:hAnsi="仿宋" w:eastAsia="仿宋" w:cs="仿宋"/>
          <w:color w:val="auto"/>
          <w:sz w:val="32"/>
          <w:szCs w:val="32"/>
          <w:u w:val="none"/>
        </w:rPr>
        <w:t>立项，雷登科被聘任为</w:t>
      </w:r>
      <w:r>
        <w:rPr>
          <w:rFonts w:hint="eastAsia" w:ascii="仿宋" w:hAnsi="仿宋" w:eastAsia="仿宋" w:cs="仿宋"/>
          <w:color w:val="auto"/>
          <w:sz w:val="32"/>
          <w:szCs w:val="32"/>
          <w:u w:val="none"/>
          <w:lang w:eastAsia="zh-CN"/>
        </w:rPr>
        <w:t>江西开放</w:t>
      </w:r>
      <w:r>
        <w:rPr>
          <w:rFonts w:hint="eastAsia" w:ascii="仿宋" w:hAnsi="仿宋" w:eastAsia="仿宋" w:cs="仿宋"/>
          <w:color w:val="auto"/>
          <w:sz w:val="32"/>
          <w:szCs w:val="32"/>
          <w:u w:val="none"/>
        </w:rPr>
        <w:t>大学第一届学术委员会委员，李铁华、刘小梅论文《关于我国计算机教育MOOC发展的思考》在《教育科学》一书上发表。</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both"/>
        <w:textAlignment w:val="auto"/>
        <w:outlineLvl w:val="1"/>
        <w:rPr>
          <w:rFonts w:hint="eastAsia" w:ascii="楷体" w:hAnsi="楷体" w:eastAsia="楷体" w:cs="楷体"/>
          <w:b w:val="0"/>
          <w:bCs w:val="0"/>
          <w:color w:val="auto"/>
          <w:sz w:val="32"/>
          <w:szCs w:val="32"/>
          <w:u w:val="none"/>
        </w:rPr>
      </w:pPr>
      <w:r>
        <w:rPr>
          <w:rFonts w:hint="eastAsia" w:ascii="楷体" w:hAnsi="楷体" w:eastAsia="楷体" w:cs="楷体"/>
          <w:b w:val="0"/>
          <w:bCs w:val="0"/>
          <w:color w:val="auto"/>
          <w:sz w:val="32"/>
          <w:szCs w:val="32"/>
          <w:u w:val="none"/>
        </w:rPr>
        <w:t>（二）特色创新</w:t>
      </w:r>
    </w:p>
    <w:p>
      <w:pPr>
        <w:keepNext w:val="0"/>
        <w:keepLines w:val="0"/>
        <w:pageBreakBefore w:val="0"/>
        <w:widowControl w:val="0"/>
        <w:tabs>
          <w:tab w:val="left" w:pos="818"/>
        </w:tabs>
        <w:kinsoku/>
        <w:wordWrap/>
        <w:overflowPunct/>
        <w:topLinePunct w:val="0"/>
        <w:autoSpaceDE/>
        <w:autoSpaceDN/>
        <w:bidi w:val="0"/>
        <w:spacing w:line="500" w:lineRule="exact"/>
        <w:ind w:firstLine="640" w:firstLineChars="200"/>
        <w:jc w:val="both"/>
        <w:textAlignment w:val="auto"/>
        <w:rPr>
          <w:sz w:val="32"/>
          <w:szCs w:val="32"/>
          <w:u w:val="none"/>
        </w:rPr>
      </w:pPr>
      <w:r>
        <w:rPr>
          <w:rFonts w:hint="eastAsia" w:ascii="仿宋" w:hAnsi="仿宋" w:eastAsia="仿宋" w:cs="仿宋"/>
          <w:b w:val="0"/>
          <w:bCs w:val="0"/>
          <w:color w:val="auto"/>
          <w:kern w:val="0"/>
          <w:sz w:val="32"/>
          <w:szCs w:val="32"/>
          <w:u w:val="none"/>
        </w:rPr>
        <w:t>2021年，</w:t>
      </w:r>
      <w:r>
        <w:rPr>
          <w:rFonts w:hint="eastAsia" w:ascii="仿宋" w:hAnsi="仿宋" w:eastAsia="仿宋" w:cs="仿宋"/>
          <w:b w:val="0"/>
          <w:bCs w:val="0"/>
          <w:color w:val="auto"/>
          <w:kern w:val="0"/>
          <w:sz w:val="32"/>
          <w:szCs w:val="32"/>
          <w:u w:val="none"/>
          <w:lang w:val="en-US" w:eastAsia="zh-CN"/>
        </w:rPr>
        <w:t>学</w:t>
      </w:r>
      <w:r>
        <w:rPr>
          <w:rFonts w:hint="eastAsia" w:ascii="仿宋" w:hAnsi="仿宋" w:eastAsia="仿宋" w:cs="仿宋"/>
          <w:b w:val="0"/>
          <w:bCs w:val="0"/>
          <w:color w:val="auto"/>
          <w:kern w:val="0"/>
          <w:sz w:val="32"/>
          <w:szCs w:val="32"/>
          <w:u w:val="none"/>
        </w:rPr>
        <w:t>校以“新全实细严”为工作总要求，在人才培养、队伍建设、课程建设、校园文化建设、社会服务等方面都凸显了特色和亮点。一是不断加强人才队伍建设。通过引进高层次人才充实学校思政教学队伍，通过组建教学团队提高教师教育教学水平，通过“走出去请进来”提高业务理论水平；二是推进教学模式改革。构建了具有萍乡开放大学特色的教学管理模式，以制度促管理，面授教学、国开教学行为、教材征订等全省领先，特别是在试点职业技能实践教学中开全省开大系统先河；三是学生活动首屈一指。2021年组织学生开展各类教学实践、党史学习教育实践、学生会等活动20余次，组织学生参加“互联网+”大学生创新创业比赛等各类活动并取得好成绩，其中“富硒水稻产业化绿色种植示范”获国家开放大学“一村一名大学生计划”学生优秀创新创业案例三等奖，通过各类活动的开展给学生满满的成就感和获得感。四是办学声誉进一步提升。2021年，在省级、市级各类媒体中发表新闻30余篇，省市各级领导多次来校调研指导工作，地市兄弟院校也多次来校学习考察，学校各项工作走在全省开大系统前列，被誉为“地市开大办学标杆”</w:t>
      </w:r>
      <w:r>
        <w:rPr>
          <w:rFonts w:hint="eastAsia" w:ascii="仿宋" w:hAnsi="仿宋" w:eastAsia="仿宋" w:cs="仿宋"/>
          <w:b w:val="0"/>
          <w:bCs w:val="0"/>
          <w:color w:val="auto"/>
          <w:kern w:val="0"/>
          <w:sz w:val="32"/>
          <w:szCs w:val="32"/>
          <w:u w:val="none"/>
          <w:lang w:eastAsia="zh-CN"/>
        </w:rPr>
        <w:t>。</w:t>
      </w:r>
      <w:r>
        <w:rPr>
          <w:rFonts w:hint="eastAsia" w:ascii="仿宋" w:hAnsi="仿宋" w:eastAsia="仿宋" w:cs="仿宋"/>
          <w:b w:val="0"/>
          <w:bCs w:val="0"/>
          <w:color w:val="auto"/>
          <w:kern w:val="0"/>
          <w:sz w:val="32"/>
          <w:szCs w:val="32"/>
          <w:u w:val="none"/>
        </w:rPr>
        <w:t>教育部教师工作司副司长宋磊就国家开放大学教师培训学院教师培训工作在国开调研时强调，国家开放大学教师培训学院要引领教师培训工作，以提升教师思想政治、师德师风、业务能力为指导方针，研发优质教师培训产品，加大“龚全珍师德师风学院”等特色培训基地建设。</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640" w:firstLineChars="200"/>
        <w:jc w:val="both"/>
        <w:textAlignment w:val="auto"/>
        <w:outlineLvl w:val="0"/>
        <w:rPr>
          <w:rFonts w:hint="eastAsia" w:ascii="黑体" w:hAnsi="黑体" w:eastAsia="黑体" w:cs="黑体"/>
          <w:color w:val="auto"/>
          <w:sz w:val="32"/>
          <w:szCs w:val="32"/>
          <w:u w:val="none"/>
        </w:rPr>
      </w:pPr>
      <w:r>
        <w:rPr>
          <w:rFonts w:hint="eastAsia" w:ascii="黑体" w:hAnsi="黑体" w:eastAsia="黑体" w:cs="黑体"/>
          <w:color w:val="auto"/>
          <w:sz w:val="32"/>
          <w:szCs w:val="32"/>
          <w:u w:val="none"/>
        </w:rPr>
        <w:t>五、社会服务</w:t>
      </w:r>
    </w:p>
    <w:p>
      <w:pPr>
        <w:keepNext w:val="0"/>
        <w:keepLines w:val="0"/>
        <w:pageBreakBefore w:val="0"/>
        <w:kinsoku/>
        <w:wordWrap/>
        <w:overflowPunct/>
        <w:topLinePunct w:val="0"/>
        <w:autoSpaceDE/>
        <w:autoSpaceDN/>
        <w:bidi w:val="0"/>
        <w:adjustRightInd w:val="0"/>
        <w:snapToGrid w:val="0"/>
        <w:spacing w:line="500" w:lineRule="exact"/>
        <w:ind w:firstLine="640" w:firstLineChars="200"/>
        <w:jc w:val="both"/>
        <w:textAlignment w:val="auto"/>
        <w:outlineLvl w:val="1"/>
        <w:rPr>
          <w:rFonts w:ascii="仿宋" w:hAnsi="仿宋" w:eastAsia="仿宋" w:cs="仿宋"/>
          <w:b/>
          <w:bCs/>
          <w:color w:val="auto"/>
          <w:sz w:val="32"/>
          <w:szCs w:val="32"/>
          <w:u w:val="none"/>
        </w:rPr>
      </w:pPr>
      <w:r>
        <w:rPr>
          <w:rFonts w:hint="eastAsia" w:ascii="楷体" w:hAnsi="楷体" w:eastAsia="楷体" w:cs="楷体"/>
          <w:b w:val="0"/>
          <w:bCs w:val="0"/>
          <w:color w:val="auto"/>
          <w:sz w:val="32"/>
          <w:szCs w:val="32"/>
          <w:u w:val="none"/>
        </w:rPr>
        <w:t>（一）服务地方经济社会发展与学习型社会建设情况</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640" w:firstLineChars="200"/>
        <w:jc w:val="both"/>
        <w:textAlignment w:val="auto"/>
        <w:rPr>
          <w:rFonts w:ascii="仿宋" w:hAnsi="仿宋" w:eastAsia="仿宋" w:cs="仿宋"/>
          <w:b w:val="0"/>
          <w:bCs w:val="0"/>
          <w:color w:val="auto"/>
          <w:sz w:val="32"/>
          <w:szCs w:val="32"/>
          <w:u w:val="none"/>
        </w:rPr>
      </w:pPr>
      <w:r>
        <w:rPr>
          <w:rFonts w:hint="eastAsia" w:ascii="仿宋" w:hAnsi="仿宋" w:eastAsia="仿宋" w:cs="仿宋"/>
          <w:b w:val="0"/>
          <w:bCs w:val="0"/>
          <w:color w:val="auto"/>
          <w:sz w:val="32"/>
          <w:szCs w:val="32"/>
          <w:u w:val="none"/>
          <w:lang w:val="en-US" w:eastAsia="zh-CN"/>
        </w:rPr>
        <w:t>学校</w:t>
      </w:r>
      <w:r>
        <w:rPr>
          <w:rFonts w:hint="eastAsia" w:ascii="仿宋" w:hAnsi="仿宋" w:eastAsia="仿宋" w:cs="仿宋"/>
          <w:b w:val="0"/>
          <w:bCs w:val="0"/>
          <w:color w:val="auto"/>
          <w:sz w:val="32"/>
          <w:szCs w:val="32"/>
          <w:u w:val="none"/>
        </w:rPr>
        <w:t>通过培养农业人才服务乡村振兴战略、开展行业培训服务经济高质量发展、办好社区教育服务学习型社会建设、开放教育资源和场地服务广大师生和群众，进一步拓展社会服务功能。</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640" w:firstLineChars="200"/>
        <w:jc w:val="both"/>
        <w:textAlignment w:val="auto"/>
        <w:rPr>
          <w:rFonts w:ascii="仿宋" w:hAnsi="仿宋" w:eastAsia="仿宋" w:cs="仿宋"/>
          <w:b w:val="0"/>
          <w:bCs w:val="0"/>
          <w:color w:val="auto"/>
          <w:kern w:val="0"/>
          <w:sz w:val="32"/>
          <w:szCs w:val="32"/>
          <w:u w:val="none"/>
        </w:rPr>
      </w:pPr>
      <w:r>
        <w:rPr>
          <w:rFonts w:hint="eastAsia" w:ascii="仿宋" w:hAnsi="仿宋" w:eastAsia="仿宋" w:cs="仿宋"/>
          <w:b w:val="0"/>
          <w:bCs w:val="0"/>
          <w:color w:val="auto"/>
          <w:sz w:val="32"/>
          <w:szCs w:val="32"/>
          <w:u w:val="none"/>
        </w:rPr>
        <w:t>1.乡村振兴。2021年，</w:t>
      </w:r>
      <w:r>
        <w:rPr>
          <w:rFonts w:hint="eastAsia" w:ascii="仿宋" w:hAnsi="仿宋" w:eastAsia="仿宋" w:cs="仿宋"/>
          <w:b w:val="0"/>
          <w:bCs w:val="0"/>
          <w:color w:val="auto"/>
          <w:sz w:val="32"/>
          <w:szCs w:val="32"/>
          <w:u w:val="none"/>
          <w:lang w:val="en-US" w:eastAsia="zh-CN"/>
        </w:rPr>
        <w:t>学</w:t>
      </w:r>
      <w:r>
        <w:rPr>
          <w:rFonts w:hint="eastAsia" w:ascii="仿宋" w:hAnsi="仿宋" w:eastAsia="仿宋" w:cs="仿宋"/>
          <w:b w:val="0"/>
          <w:bCs w:val="0"/>
          <w:color w:val="auto"/>
          <w:sz w:val="32"/>
          <w:szCs w:val="32"/>
          <w:u w:val="none"/>
        </w:rPr>
        <w:t>校在培养农业人才服务乡村振兴战略方面的成绩比较显著。积极开展高素质农民、保育员等各类免费职业技能培训，并深入萍乡新型农业企业进行调研，建立了14个“高素质农民实训基地”，为“服务三农、服务乡村振兴”打下坚实基础，也为萍乡市农业企业职工技术技能提升提供强大支撑。</w:t>
      </w:r>
      <w:r>
        <w:rPr>
          <w:rFonts w:hint="eastAsia" w:ascii="仿宋" w:hAnsi="仿宋" w:eastAsia="仿宋" w:cs="仿宋"/>
          <w:b w:val="0"/>
          <w:bCs w:val="0"/>
          <w:color w:val="auto"/>
          <w:sz w:val="32"/>
          <w:szCs w:val="32"/>
          <w:u w:val="none"/>
          <w:lang w:val="en-US" w:eastAsia="zh-CN"/>
        </w:rPr>
        <w:t>学</w:t>
      </w:r>
      <w:r>
        <w:rPr>
          <w:rFonts w:hint="eastAsia" w:ascii="仿宋" w:hAnsi="仿宋" w:eastAsia="仿宋" w:cs="仿宋"/>
          <w:b w:val="0"/>
          <w:bCs w:val="0"/>
          <w:color w:val="auto"/>
          <w:sz w:val="32"/>
          <w:szCs w:val="32"/>
          <w:u w:val="none"/>
        </w:rPr>
        <w:t>校在平安建设挂点乡镇以及重点帮扶村的工作中，派出精兵强将确保人员到位、资金到位，全力助推乡村振兴战略的实施。</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ascii="仿宋" w:hAnsi="仿宋" w:eastAsia="仿宋" w:cs="仿宋"/>
          <w:b w:val="0"/>
          <w:bCs w:val="0"/>
          <w:color w:val="auto"/>
          <w:sz w:val="32"/>
          <w:szCs w:val="32"/>
          <w:u w:val="none"/>
        </w:rPr>
      </w:pPr>
      <w:r>
        <w:rPr>
          <w:rFonts w:hint="eastAsia" w:ascii="仿宋" w:hAnsi="仿宋" w:eastAsia="仿宋" w:cs="仿宋"/>
          <w:b w:val="0"/>
          <w:bCs w:val="0"/>
          <w:color w:val="auto"/>
          <w:sz w:val="32"/>
          <w:szCs w:val="32"/>
          <w:u w:val="none"/>
        </w:rPr>
        <w:t>2.产业服务。2021年学校开展各类行业培训人数达到4000余人次，无论是人数还是效益都大幅度增长。学校利用系统办学优势，举办了高素质农民、保育员、养老护理员、快递小哥、旅游咨询员和安保人员等政府免费职业技能培训。与市普通话测试中心合作，对全市5000余人开展了普通话测试考试工作。</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640" w:firstLineChars="200"/>
        <w:jc w:val="both"/>
        <w:textAlignment w:val="auto"/>
        <w:rPr>
          <w:rFonts w:ascii="仿宋" w:hAnsi="仿宋" w:eastAsia="仿宋" w:cs="仿宋"/>
          <w:b w:val="0"/>
          <w:bCs w:val="0"/>
          <w:color w:val="auto"/>
          <w:sz w:val="32"/>
          <w:szCs w:val="32"/>
          <w:u w:val="none"/>
        </w:rPr>
      </w:pPr>
      <w:r>
        <w:rPr>
          <w:rFonts w:hint="eastAsia" w:ascii="仿宋" w:hAnsi="仿宋" w:eastAsia="仿宋" w:cs="仿宋"/>
          <w:b w:val="0"/>
          <w:bCs w:val="0"/>
          <w:color w:val="auto"/>
          <w:sz w:val="32"/>
          <w:szCs w:val="32"/>
          <w:u w:val="none"/>
        </w:rPr>
        <w:t>3.社区教育。市社区教育指导中心、市青少年科技教育协会、市教育局党校、市教工旅行社先后挂靠在</w:t>
      </w:r>
      <w:r>
        <w:rPr>
          <w:rFonts w:hint="eastAsia" w:ascii="仿宋" w:hAnsi="仿宋" w:eastAsia="仿宋" w:cs="仿宋"/>
          <w:b w:val="0"/>
          <w:bCs w:val="0"/>
          <w:color w:val="auto"/>
          <w:sz w:val="32"/>
          <w:szCs w:val="32"/>
          <w:u w:val="none"/>
          <w:lang w:val="en-US" w:eastAsia="zh-CN"/>
        </w:rPr>
        <w:t>萍乡开大</w:t>
      </w:r>
      <w:r>
        <w:rPr>
          <w:rFonts w:hint="eastAsia" w:ascii="仿宋" w:hAnsi="仿宋" w:eastAsia="仿宋" w:cs="仿宋"/>
          <w:b w:val="0"/>
          <w:bCs w:val="0"/>
          <w:color w:val="auto"/>
          <w:sz w:val="32"/>
          <w:szCs w:val="32"/>
          <w:u w:val="none"/>
        </w:rPr>
        <w:t>，为</w:t>
      </w:r>
      <w:r>
        <w:rPr>
          <w:rFonts w:hint="eastAsia" w:ascii="仿宋" w:hAnsi="仿宋" w:eastAsia="仿宋" w:cs="仿宋"/>
          <w:b w:val="0"/>
          <w:bCs w:val="0"/>
          <w:color w:val="auto"/>
          <w:sz w:val="32"/>
          <w:szCs w:val="32"/>
          <w:u w:val="none"/>
          <w:lang w:val="en-US" w:eastAsia="zh-CN"/>
        </w:rPr>
        <w:t>学校</w:t>
      </w:r>
      <w:r>
        <w:rPr>
          <w:rFonts w:hint="eastAsia" w:ascii="仿宋" w:hAnsi="仿宋" w:eastAsia="仿宋" w:cs="仿宋"/>
          <w:b w:val="0"/>
          <w:bCs w:val="0"/>
          <w:color w:val="auto"/>
          <w:sz w:val="32"/>
          <w:szCs w:val="32"/>
          <w:u w:val="none"/>
        </w:rPr>
        <w:t>发展社区教育事业，打造终身学习活动品牌搭建了多个平台。2021年，圆满完成了江西省全民终身学习活动周总开幕式的工作，得到了上级部门的高度肯定；在全市教育系统内建立了联络员网络，并主动与各行业协会积极联系沟通，将联系员网络扩大到各民间行业协会中；开展了“鳌洲大讲堂”进社区、进机关、进乡村活动。七一之前，以党史宣讲为主题，送课程入乡村入社区开展党史宣讲5次；七一之后，以党史教育+技能培训为主题，开展农业技术讲座，并建立了5个“乡村社区教育创新实践基地”，致力于乡村文化振兴；引进了老年人声乐培训班、书法培训班、机器人编程培训班，开展了老年人运用智能技术讲座，为社区居民提供免费培训；充分发挥青少年科技教育协会和教工旅行社作用。积极组织学生参加江西省青少年科技创新大赛，获萍乡市青少年教育科技协会先进集体和江西省青少年科技创新大赛优秀组织单位。教工旅行社组织研学团队13次，学生人数4200余人，开发了传统皮影戏（非物质文化遗产）等特色研学课程，树立了新的萍乡教工旅行社品牌。</w:t>
      </w:r>
    </w:p>
    <w:p>
      <w:pPr>
        <w:keepNext w:val="0"/>
        <w:keepLines w:val="0"/>
        <w:pageBreakBefore w:val="0"/>
        <w:widowControl/>
        <w:kinsoku/>
        <w:wordWrap/>
        <w:overflowPunct/>
        <w:topLinePunct w:val="0"/>
        <w:autoSpaceDE/>
        <w:autoSpaceDN/>
        <w:bidi w:val="0"/>
        <w:spacing w:line="500" w:lineRule="exact"/>
        <w:ind w:firstLine="640" w:firstLineChars="200"/>
        <w:jc w:val="both"/>
        <w:textAlignment w:val="auto"/>
        <w:rPr>
          <w:b w:val="0"/>
          <w:bCs w:val="0"/>
          <w:sz w:val="32"/>
          <w:szCs w:val="32"/>
          <w:u w:val="none"/>
        </w:rPr>
      </w:pPr>
      <w:r>
        <w:rPr>
          <w:rFonts w:hint="eastAsia" w:ascii="仿宋" w:hAnsi="仿宋" w:eastAsia="仿宋" w:cs="仿宋"/>
          <w:b w:val="0"/>
          <w:bCs w:val="0"/>
          <w:color w:val="auto"/>
          <w:sz w:val="32"/>
          <w:szCs w:val="32"/>
          <w:u w:val="none"/>
        </w:rPr>
        <w:t>4.职业培训。积极与省、市农业农村局对接，开展了高素质农民免费职业技能培训，建立了14个“高素质农民实训基地”，扩大了优质教育资源受益面，为萍乡市农业企业职工技术技能提升提供支撑。</w:t>
      </w:r>
      <w:r>
        <w:rPr>
          <w:rFonts w:hint="eastAsia" w:ascii="仿宋" w:hAnsi="仿宋" w:eastAsia="仿宋" w:cs="仿宋"/>
          <w:b w:val="0"/>
          <w:bCs w:val="0"/>
          <w:color w:val="auto"/>
          <w:sz w:val="32"/>
          <w:szCs w:val="32"/>
          <w:u w:val="none"/>
          <w:lang w:val="en-US" w:eastAsia="zh-CN"/>
        </w:rPr>
        <w:t>学</w:t>
      </w:r>
      <w:r>
        <w:rPr>
          <w:rFonts w:hint="eastAsia" w:ascii="仿宋" w:hAnsi="仿宋" w:eastAsia="仿宋" w:cs="仿宋"/>
          <w:b w:val="0"/>
          <w:bCs w:val="0"/>
          <w:color w:val="auto"/>
          <w:sz w:val="32"/>
          <w:szCs w:val="32"/>
          <w:u w:val="none"/>
        </w:rPr>
        <w:t>校“服务三农、服务乡村振兴”工作得到省农业农村局的高度赞赏，并将在全省范围内进行宣传推广；</w:t>
      </w:r>
      <w:r>
        <w:rPr>
          <w:rFonts w:hint="eastAsia" w:ascii="仿宋" w:hAnsi="仿宋" w:eastAsia="仿宋" w:cs="仿宋"/>
          <w:b w:val="0"/>
          <w:bCs w:val="0"/>
          <w:color w:val="auto"/>
          <w:sz w:val="32"/>
          <w:szCs w:val="32"/>
          <w:u w:val="none"/>
          <w:lang w:val="en-US" w:eastAsia="zh-CN"/>
        </w:rPr>
        <w:t>学</w:t>
      </w:r>
      <w:r>
        <w:rPr>
          <w:rFonts w:hint="eastAsia" w:ascii="仿宋" w:hAnsi="仿宋" w:eastAsia="仿宋" w:cs="仿宋"/>
          <w:b w:val="0"/>
          <w:bCs w:val="0"/>
          <w:color w:val="auto"/>
          <w:sz w:val="32"/>
          <w:szCs w:val="32"/>
          <w:u w:val="none"/>
        </w:rPr>
        <w:t>校中职学校经过三年的发展已经初具规模，现开设有美术与绘画等11个专业，在校生规模已达1200余人，现已完成上栗县赤山工业园江西金广寒科技实业有限公司的86亩土地收购，拟投资1.74亿元用于建设，预计在2022年9月份将正式投入使用；正积极探索五年长学制办学模式，与省教育厅、省</w:t>
      </w:r>
      <w:r>
        <w:rPr>
          <w:rFonts w:hint="eastAsia" w:ascii="仿宋" w:hAnsi="仿宋" w:eastAsia="仿宋" w:cs="仿宋"/>
          <w:b w:val="0"/>
          <w:bCs w:val="0"/>
          <w:color w:val="auto"/>
          <w:sz w:val="32"/>
          <w:szCs w:val="32"/>
          <w:u w:val="none"/>
          <w:lang w:val="en-US" w:eastAsia="zh-CN"/>
        </w:rPr>
        <w:t>校</w:t>
      </w:r>
      <w:r>
        <w:rPr>
          <w:rFonts w:hint="eastAsia" w:ascii="仿宋" w:hAnsi="仿宋" w:eastAsia="仿宋" w:cs="仿宋"/>
          <w:b w:val="0"/>
          <w:bCs w:val="0"/>
          <w:color w:val="auto"/>
          <w:sz w:val="32"/>
          <w:szCs w:val="32"/>
          <w:u w:val="none"/>
        </w:rPr>
        <w:t>进行沟通，并结合</w:t>
      </w:r>
      <w:r>
        <w:rPr>
          <w:rFonts w:hint="eastAsia" w:ascii="仿宋" w:hAnsi="仿宋" w:eastAsia="仿宋" w:cs="仿宋"/>
          <w:b w:val="0"/>
          <w:bCs w:val="0"/>
          <w:color w:val="auto"/>
          <w:sz w:val="32"/>
          <w:szCs w:val="32"/>
          <w:u w:val="none"/>
          <w:lang w:val="en-US" w:eastAsia="zh-CN"/>
        </w:rPr>
        <w:t>学校</w:t>
      </w:r>
      <w:r>
        <w:rPr>
          <w:rFonts w:hint="eastAsia" w:ascii="仿宋" w:hAnsi="仿宋" w:eastAsia="仿宋" w:cs="仿宋"/>
          <w:b w:val="0"/>
          <w:bCs w:val="0"/>
          <w:color w:val="auto"/>
          <w:sz w:val="32"/>
          <w:szCs w:val="32"/>
          <w:u w:val="none"/>
        </w:rPr>
        <w:t>实际情况，提出了对五年长学制办学模式进行尝试的想法，也得到了上级部门的肯定和支持，现正在进行资格和专业申报的准备工作。</w:t>
      </w:r>
    </w:p>
    <w:p>
      <w:pPr>
        <w:keepNext w:val="0"/>
        <w:keepLines w:val="0"/>
        <w:pageBreakBefore w:val="0"/>
        <w:kinsoku/>
        <w:wordWrap/>
        <w:overflowPunct/>
        <w:topLinePunct w:val="0"/>
        <w:autoSpaceDE/>
        <w:autoSpaceDN/>
        <w:bidi w:val="0"/>
        <w:adjustRightInd w:val="0"/>
        <w:snapToGrid w:val="0"/>
        <w:spacing w:line="500" w:lineRule="exact"/>
        <w:ind w:firstLine="640" w:firstLineChars="200"/>
        <w:jc w:val="both"/>
        <w:textAlignment w:val="auto"/>
        <w:outlineLvl w:val="1"/>
        <w:rPr>
          <w:rFonts w:hint="eastAsia" w:ascii="楷体" w:hAnsi="楷体" w:eastAsia="楷体" w:cs="楷体"/>
          <w:b w:val="0"/>
          <w:bCs w:val="0"/>
          <w:color w:val="auto"/>
          <w:sz w:val="32"/>
          <w:szCs w:val="32"/>
          <w:u w:val="none"/>
        </w:rPr>
      </w:pPr>
      <w:r>
        <w:rPr>
          <w:rFonts w:hint="eastAsia" w:ascii="楷体" w:hAnsi="楷体" w:eastAsia="楷体" w:cs="楷体"/>
          <w:b w:val="0"/>
          <w:bCs w:val="0"/>
          <w:color w:val="auto"/>
          <w:sz w:val="32"/>
          <w:szCs w:val="32"/>
          <w:u w:val="none"/>
        </w:rPr>
        <w:t>（二）对口支援、教育帮扶情况</w:t>
      </w:r>
    </w:p>
    <w:p>
      <w:pPr>
        <w:keepNext w:val="0"/>
        <w:keepLines w:val="0"/>
        <w:pageBreakBefore w:val="0"/>
        <w:kinsoku/>
        <w:wordWrap/>
        <w:overflowPunct/>
        <w:topLinePunct w:val="0"/>
        <w:autoSpaceDE/>
        <w:autoSpaceDN/>
        <w:bidi w:val="0"/>
        <w:spacing w:line="500" w:lineRule="exact"/>
        <w:ind w:firstLine="640" w:firstLineChars="200"/>
        <w:jc w:val="both"/>
        <w:textAlignment w:val="auto"/>
        <w:rPr>
          <w:rFonts w:ascii="仿宋" w:hAnsi="仿宋" w:eastAsia="仿宋" w:cs="仿宋"/>
          <w:color w:val="auto"/>
          <w:sz w:val="32"/>
          <w:szCs w:val="32"/>
          <w:u w:val="none"/>
        </w:rPr>
      </w:pPr>
      <w:r>
        <w:rPr>
          <w:rFonts w:hint="eastAsia" w:ascii="仿宋" w:hAnsi="仿宋" w:eastAsia="仿宋" w:cs="仿宋"/>
          <w:color w:val="auto"/>
          <w:sz w:val="32"/>
          <w:szCs w:val="32"/>
          <w:u w:val="none"/>
        </w:rPr>
        <w:t>学校采取多项举措，调动全员力量，派出精兵强将，全力奋战脱贫攻坚工作。一是确保人员到位、资金到位。二是抓好扶贫资金的监督与管理。三是做好扶贫攻坚工作资料的保存和积累工作。四是做好扶贫攻坚工作的宣传报道，确保完成扶贫攻坚任务。五是做好莲花路口镇和湖上村的帮扶工作。</w:t>
      </w:r>
    </w:p>
    <w:p>
      <w:pPr>
        <w:keepNext w:val="0"/>
        <w:keepLines w:val="0"/>
        <w:pageBreakBefore w:val="0"/>
        <w:widowControl/>
        <w:kinsoku/>
        <w:wordWrap/>
        <w:overflowPunct/>
        <w:topLinePunct w:val="0"/>
        <w:autoSpaceDE/>
        <w:autoSpaceDN/>
        <w:bidi w:val="0"/>
        <w:spacing w:line="500" w:lineRule="exact"/>
        <w:ind w:firstLine="640" w:firstLineChars="200"/>
        <w:jc w:val="both"/>
        <w:textAlignment w:val="auto"/>
        <w:rPr>
          <w:rFonts w:ascii="仿宋" w:hAnsi="仿宋" w:eastAsia="仿宋" w:cs="仿宋"/>
          <w:color w:val="auto"/>
          <w:sz w:val="32"/>
          <w:szCs w:val="32"/>
          <w:u w:val="none"/>
        </w:rPr>
      </w:pPr>
      <w:r>
        <w:rPr>
          <w:rFonts w:hint="eastAsia" w:ascii="仿宋" w:hAnsi="仿宋" w:eastAsia="仿宋" w:cs="仿宋"/>
          <w:color w:val="auto"/>
          <w:sz w:val="32"/>
          <w:szCs w:val="32"/>
          <w:u w:val="none"/>
        </w:rPr>
        <w:t>2021年，学校派出周小敏同志任莲花路口镇和湖上村驻村工作队员，校分管领导多次到挂点帮扶乡镇莲花路口镇和湖上村调研并召开座谈会，进一步落实教育</w:t>
      </w:r>
      <w:r>
        <w:rPr>
          <w:rFonts w:hint="eastAsia" w:ascii="仿宋" w:hAnsi="仿宋" w:eastAsia="仿宋" w:cs="仿宋"/>
          <w:color w:val="auto"/>
          <w:sz w:val="32"/>
          <w:szCs w:val="32"/>
          <w:u w:val="none"/>
          <w:lang w:eastAsia="zh-CN"/>
        </w:rPr>
        <w:t>扶贫</w:t>
      </w:r>
      <w:r>
        <w:rPr>
          <w:rFonts w:hint="eastAsia" w:ascii="仿宋" w:hAnsi="仿宋" w:eastAsia="仿宋" w:cs="仿宋"/>
          <w:color w:val="auto"/>
          <w:sz w:val="32"/>
          <w:szCs w:val="32"/>
          <w:u w:val="none"/>
        </w:rPr>
        <w:t>、产业扶贫等政策，重点开展“法律明白人”培养工程、无偿法律咨询等服务，并结合路口镇现有的文化资源，将其纳入</w:t>
      </w:r>
      <w:r>
        <w:rPr>
          <w:rFonts w:hint="eastAsia" w:ascii="仿宋" w:hAnsi="仿宋" w:eastAsia="仿宋" w:cs="仿宋"/>
          <w:color w:val="auto"/>
          <w:sz w:val="32"/>
          <w:szCs w:val="32"/>
          <w:u w:val="none"/>
          <w:lang w:val="en-US" w:eastAsia="zh-CN"/>
        </w:rPr>
        <w:t>学</w:t>
      </w:r>
      <w:r>
        <w:rPr>
          <w:rFonts w:hint="eastAsia" w:ascii="仿宋" w:hAnsi="仿宋" w:eastAsia="仿宋" w:cs="仿宋"/>
          <w:color w:val="auto"/>
          <w:sz w:val="32"/>
          <w:szCs w:val="32"/>
          <w:u w:val="none"/>
        </w:rPr>
        <w:t>校的研学基地。</w:t>
      </w:r>
    </w:p>
    <w:p>
      <w:pPr>
        <w:keepNext w:val="0"/>
        <w:keepLines w:val="0"/>
        <w:pageBreakBefore w:val="0"/>
        <w:numPr>
          <w:ilvl w:val="0"/>
          <w:numId w:val="4"/>
        </w:numPr>
        <w:kinsoku/>
        <w:wordWrap/>
        <w:overflowPunct/>
        <w:topLinePunct w:val="0"/>
        <w:autoSpaceDE/>
        <w:autoSpaceDN/>
        <w:bidi w:val="0"/>
        <w:adjustRightInd w:val="0"/>
        <w:snapToGrid w:val="0"/>
        <w:spacing w:line="500" w:lineRule="exact"/>
        <w:ind w:firstLine="640" w:firstLineChars="200"/>
        <w:jc w:val="both"/>
        <w:textAlignment w:val="auto"/>
        <w:outlineLvl w:val="1"/>
        <w:rPr>
          <w:rFonts w:hint="eastAsia" w:ascii="楷体" w:hAnsi="楷体" w:eastAsia="楷体" w:cs="楷体"/>
          <w:b w:val="0"/>
          <w:bCs w:val="0"/>
          <w:color w:val="auto"/>
          <w:sz w:val="32"/>
          <w:szCs w:val="32"/>
          <w:u w:val="none"/>
        </w:rPr>
      </w:pPr>
      <w:r>
        <w:rPr>
          <w:rFonts w:hint="eastAsia" w:ascii="楷体" w:hAnsi="楷体" w:eastAsia="楷体" w:cs="楷体"/>
          <w:b w:val="0"/>
          <w:bCs w:val="0"/>
          <w:color w:val="auto"/>
          <w:sz w:val="32"/>
          <w:szCs w:val="32"/>
          <w:u w:val="none"/>
        </w:rPr>
        <w:t>学校资源面向校内、社会开放服务情况</w:t>
      </w:r>
    </w:p>
    <w:p>
      <w:pPr>
        <w:pStyle w:val="2"/>
        <w:keepNext w:val="0"/>
        <w:keepLines w:val="0"/>
        <w:pageBreakBefore w:val="0"/>
        <w:kinsoku/>
        <w:wordWrap/>
        <w:overflowPunct/>
        <w:topLinePunct w:val="0"/>
        <w:autoSpaceDE/>
        <w:autoSpaceDN/>
        <w:bidi w:val="0"/>
        <w:spacing w:after="0" w:line="500" w:lineRule="exact"/>
        <w:ind w:firstLine="616" w:firstLineChars="200"/>
        <w:jc w:val="both"/>
        <w:textAlignment w:val="auto"/>
        <w:rPr>
          <w:rFonts w:hint="eastAsia"/>
          <w:sz w:val="32"/>
          <w:szCs w:val="32"/>
          <w:u w:val="none"/>
        </w:rPr>
      </w:pPr>
      <w:r>
        <w:rPr>
          <w:rFonts w:hint="eastAsia" w:ascii="仿宋" w:hAnsi="仿宋" w:eastAsia="仿宋" w:cs="仿宋"/>
          <w:color w:val="auto"/>
          <w:spacing w:val="-6"/>
          <w:kern w:val="0"/>
          <w:sz w:val="32"/>
          <w:szCs w:val="32"/>
          <w:u w:val="none"/>
          <w:lang w:val="en-US" w:eastAsia="zh-CN"/>
        </w:rPr>
        <w:t>学</w:t>
      </w:r>
      <w:r>
        <w:rPr>
          <w:rFonts w:hint="eastAsia" w:ascii="仿宋" w:hAnsi="仿宋" w:eastAsia="仿宋" w:cs="仿宋"/>
          <w:color w:val="auto"/>
          <w:spacing w:val="-6"/>
          <w:kern w:val="0"/>
          <w:sz w:val="32"/>
          <w:szCs w:val="32"/>
          <w:u w:val="none"/>
        </w:rPr>
        <w:t>校一直致力于积极将教育资源面向社会开放，对于单位或需要以团队形式使用校内相关场地和教学设备的，经双方充分沟通使用要求和细节后，学校都将根据双方实际供需情况，积极开放相关资源。如为社区声乐班提供免费教学及教学场地和教学设备的使用，多次为“鳌州大讲堂”免费提供多功能报告厅进行授课，多次为萍乡市燃气公司提供运动场、多功能报告厅，为团市委、市教育局等单位开展的竞赛培训和各类活动提供场地，为八一街宣讲活动提供场地等。</w:t>
      </w:r>
      <w:r>
        <w:rPr>
          <w:rFonts w:hint="eastAsia" w:ascii="仿宋" w:hAnsi="仿宋" w:eastAsia="仿宋" w:cs="仿宋"/>
          <w:color w:val="auto"/>
          <w:spacing w:val="-6"/>
          <w:kern w:val="0"/>
          <w:sz w:val="32"/>
          <w:szCs w:val="32"/>
          <w:u w:val="none"/>
          <w:lang w:val="en-US" w:eastAsia="zh-CN"/>
        </w:rPr>
        <w:t>学</w:t>
      </w:r>
      <w:r>
        <w:rPr>
          <w:rFonts w:hint="eastAsia" w:ascii="仿宋" w:hAnsi="仿宋" w:eastAsia="仿宋" w:cs="仿宋"/>
          <w:color w:val="auto"/>
          <w:spacing w:val="-6"/>
          <w:kern w:val="0"/>
          <w:sz w:val="32"/>
          <w:szCs w:val="32"/>
          <w:u w:val="none"/>
        </w:rPr>
        <w:t>校曾经是萍乡学院旧址，为了让老校友们更加真切地感受到母校的氛围，积极配合并组织了萍乡学院78级化学班毕业四十周年庆典活动。</w:t>
      </w:r>
    </w:p>
    <w:p>
      <w:pPr>
        <w:pStyle w:val="2"/>
        <w:keepNext w:val="0"/>
        <w:keepLines w:val="0"/>
        <w:pageBreakBefore w:val="0"/>
        <w:numPr>
          <w:ilvl w:val="0"/>
          <w:numId w:val="5"/>
        </w:numPr>
        <w:kinsoku/>
        <w:wordWrap/>
        <w:overflowPunct/>
        <w:topLinePunct w:val="0"/>
        <w:autoSpaceDE/>
        <w:autoSpaceDN/>
        <w:bidi w:val="0"/>
        <w:spacing w:after="0" w:line="500" w:lineRule="exact"/>
        <w:ind w:firstLine="640" w:firstLineChars="200"/>
        <w:jc w:val="both"/>
        <w:textAlignment w:val="auto"/>
        <w:outlineLvl w:val="0"/>
        <w:rPr>
          <w:rFonts w:ascii="黑体" w:hAnsi="黑体" w:eastAsia="黑体" w:cs="黑体"/>
          <w:color w:val="auto"/>
          <w:sz w:val="32"/>
          <w:szCs w:val="32"/>
          <w:u w:val="none"/>
        </w:rPr>
      </w:pPr>
      <w:r>
        <w:rPr>
          <w:rFonts w:hint="eastAsia" w:ascii="黑体" w:hAnsi="黑体" w:eastAsia="黑体" w:cs="黑体"/>
          <w:color w:val="auto"/>
          <w:sz w:val="32"/>
          <w:szCs w:val="32"/>
          <w:u w:val="none"/>
        </w:rPr>
        <w:t>存在的问题</w:t>
      </w:r>
    </w:p>
    <w:p>
      <w:pPr>
        <w:pStyle w:val="2"/>
        <w:keepNext w:val="0"/>
        <w:keepLines w:val="0"/>
        <w:pageBreakBefore w:val="0"/>
        <w:kinsoku/>
        <w:wordWrap/>
        <w:overflowPunct/>
        <w:topLinePunct w:val="0"/>
        <w:autoSpaceDE/>
        <w:autoSpaceDN/>
        <w:bidi w:val="0"/>
        <w:spacing w:after="0" w:line="500" w:lineRule="exact"/>
        <w:ind w:firstLine="616" w:firstLineChars="200"/>
        <w:jc w:val="both"/>
        <w:textAlignment w:val="auto"/>
        <w:rPr>
          <w:rFonts w:hint="eastAsia" w:ascii="仿宋" w:hAnsi="仿宋" w:eastAsia="仿宋" w:cs="仿宋"/>
          <w:color w:val="auto"/>
          <w:spacing w:val="-6"/>
          <w:kern w:val="0"/>
          <w:sz w:val="32"/>
          <w:szCs w:val="32"/>
          <w:u w:val="none"/>
          <w:lang w:eastAsia="zh-CN"/>
        </w:rPr>
      </w:pPr>
      <w:r>
        <w:rPr>
          <w:rFonts w:hint="eastAsia" w:ascii="仿宋" w:hAnsi="仿宋" w:eastAsia="仿宋" w:cs="仿宋"/>
          <w:color w:val="auto"/>
          <w:spacing w:val="-6"/>
          <w:kern w:val="0"/>
          <w:sz w:val="32"/>
          <w:szCs w:val="32"/>
          <w:u w:val="none"/>
          <w:lang w:val="en-US" w:eastAsia="zh-CN"/>
        </w:rPr>
        <w:t>1.要与</w:t>
      </w:r>
      <w:r>
        <w:rPr>
          <w:rFonts w:hint="default" w:ascii="仿宋" w:hAnsi="仿宋" w:eastAsia="仿宋" w:cs="仿宋"/>
          <w:color w:val="auto"/>
          <w:spacing w:val="-6"/>
          <w:kern w:val="0"/>
          <w:sz w:val="32"/>
          <w:szCs w:val="32"/>
          <w:u w:val="none"/>
          <w:lang w:val="en-US" w:eastAsia="zh-CN"/>
        </w:rPr>
        <w:t>所辖各办学单位</w:t>
      </w:r>
      <w:r>
        <w:rPr>
          <w:rFonts w:hint="eastAsia" w:ascii="仿宋" w:hAnsi="仿宋" w:eastAsia="仿宋" w:cs="仿宋"/>
          <w:color w:val="auto"/>
          <w:spacing w:val="-6"/>
          <w:kern w:val="0"/>
          <w:sz w:val="32"/>
          <w:szCs w:val="32"/>
          <w:u w:val="none"/>
          <w:lang w:val="en-US" w:eastAsia="zh-CN"/>
        </w:rPr>
        <w:t>签订合作办学协议，进一步</w:t>
      </w:r>
      <w:r>
        <w:rPr>
          <w:rFonts w:hint="eastAsia" w:ascii="仿宋" w:hAnsi="仿宋" w:eastAsia="仿宋" w:cs="仿宋"/>
          <w:color w:val="auto"/>
          <w:spacing w:val="-6"/>
          <w:kern w:val="0"/>
          <w:sz w:val="32"/>
          <w:szCs w:val="32"/>
          <w:u w:val="none"/>
          <w:lang w:eastAsia="zh-CN"/>
        </w:rPr>
        <w:t>加强办学系统建设能力。对县级开放学院的统筹管理有待加强，对基层办学单位教学要求和档案标准、师资配备需进一步明确和强化，班主任助学等支持服务质量需进一步提升。</w:t>
      </w:r>
    </w:p>
    <w:p>
      <w:pPr>
        <w:pStyle w:val="2"/>
        <w:keepNext w:val="0"/>
        <w:keepLines w:val="0"/>
        <w:pageBreakBefore w:val="0"/>
        <w:kinsoku/>
        <w:wordWrap/>
        <w:overflowPunct/>
        <w:topLinePunct w:val="0"/>
        <w:autoSpaceDE/>
        <w:autoSpaceDN/>
        <w:bidi w:val="0"/>
        <w:spacing w:after="0" w:line="500" w:lineRule="exact"/>
        <w:ind w:firstLine="616" w:firstLineChars="200"/>
        <w:jc w:val="both"/>
        <w:textAlignment w:val="auto"/>
        <w:rPr>
          <w:rFonts w:hint="eastAsia" w:ascii="仿宋" w:hAnsi="仿宋" w:eastAsia="仿宋" w:cs="仿宋"/>
          <w:color w:val="auto"/>
          <w:spacing w:val="-6"/>
          <w:kern w:val="0"/>
          <w:sz w:val="32"/>
          <w:szCs w:val="32"/>
          <w:u w:val="none"/>
          <w:lang w:eastAsia="zh-CN"/>
        </w:rPr>
      </w:pPr>
      <w:r>
        <w:rPr>
          <w:rFonts w:hint="eastAsia" w:ascii="仿宋" w:hAnsi="仿宋" w:eastAsia="仿宋" w:cs="仿宋"/>
          <w:color w:val="auto"/>
          <w:spacing w:val="-6"/>
          <w:kern w:val="0"/>
          <w:sz w:val="32"/>
          <w:szCs w:val="32"/>
          <w:u w:val="none"/>
          <w:lang w:val="en-US" w:eastAsia="zh-CN"/>
        </w:rPr>
        <w:t>2.人员编制、办学场地与办学规模不相适应。</w:t>
      </w:r>
    </w:p>
    <w:p>
      <w:pPr>
        <w:pStyle w:val="2"/>
        <w:keepNext w:val="0"/>
        <w:keepLines w:val="0"/>
        <w:pageBreakBefore w:val="0"/>
        <w:kinsoku/>
        <w:wordWrap/>
        <w:overflowPunct/>
        <w:topLinePunct w:val="0"/>
        <w:autoSpaceDE/>
        <w:autoSpaceDN/>
        <w:bidi w:val="0"/>
        <w:spacing w:after="0" w:line="500" w:lineRule="exact"/>
        <w:ind w:firstLine="616" w:firstLineChars="200"/>
        <w:jc w:val="both"/>
        <w:textAlignment w:val="auto"/>
        <w:rPr>
          <w:rFonts w:hint="eastAsia" w:ascii="仿宋" w:hAnsi="仿宋" w:eastAsia="仿宋" w:cs="仿宋"/>
          <w:color w:val="auto"/>
          <w:spacing w:val="-6"/>
          <w:kern w:val="0"/>
          <w:sz w:val="32"/>
          <w:szCs w:val="32"/>
          <w:u w:val="none"/>
          <w:lang w:eastAsia="zh-CN"/>
        </w:rPr>
      </w:pPr>
      <w:r>
        <w:rPr>
          <w:rFonts w:hint="eastAsia" w:ascii="仿宋" w:hAnsi="仿宋" w:eastAsia="仿宋" w:cs="仿宋"/>
          <w:color w:val="auto"/>
          <w:spacing w:val="-6"/>
          <w:kern w:val="0"/>
          <w:sz w:val="32"/>
          <w:szCs w:val="32"/>
          <w:u w:val="none"/>
          <w:lang w:val="en-US" w:eastAsia="zh-CN"/>
        </w:rPr>
        <w:t>3.要提升学习网教师与学生的参与度，2021年度学习网“选课率”“教师”“学生人均上线天数”排名靠后。</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16" w:firstLineChars="200"/>
        <w:jc w:val="both"/>
        <w:textAlignment w:val="auto"/>
        <w:outlineLvl w:val="0"/>
        <w:rPr>
          <w:rFonts w:hint="eastAsia" w:ascii="仿宋" w:hAnsi="仿宋" w:eastAsia="仿宋" w:cs="仿宋"/>
          <w:color w:val="auto"/>
          <w:spacing w:val="-6"/>
          <w:kern w:val="0"/>
          <w:sz w:val="32"/>
          <w:szCs w:val="32"/>
          <w:u w:val="none"/>
          <w:lang w:val="en-US" w:eastAsia="zh-CN"/>
        </w:rPr>
      </w:pPr>
      <w:r>
        <w:rPr>
          <w:rFonts w:hint="eastAsia" w:ascii="仿宋" w:hAnsi="仿宋" w:eastAsia="仿宋" w:cs="仿宋"/>
          <w:color w:val="auto"/>
          <w:spacing w:val="-6"/>
          <w:kern w:val="0"/>
          <w:sz w:val="32"/>
          <w:szCs w:val="32"/>
          <w:u w:val="none"/>
          <w:lang w:val="en-US" w:eastAsia="zh-CN"/>
        </w:rPr>
        <w:t>4.要加大国家开放大学学位申请的宣传力度，做好学位外语培训和相关组织工作。2021年度仅1名学生申请并获得学位。</w:t>
      </w:r>
    </w:p>
    <w:p>
      <w:pPr>
        <w:pStyle w:val="2"/>
        <w:keepNext w:val="0"/>
        <w:keepLines w:val="0"/>
        <w:pageBreakBefore w:val="0"/>
        <w:kinsoku/>
        <w:wordWrap/>
        <w:overflowPunct/>
        <w:topLinePunct w:val="0"/>
        <w:autoSpaceDE/>
        <w:autoSpaceDN/>
        <w:bidi w:val="0"/>
        <w:spacing w:after="0" w:line="500" w:lineRule="exact"/>
        <w:ind w:firstLine="616" w:firstLineChars="200"/>
        <w:jc w:val="both"/>
        <w:textAlignment w:val="auto"/>
        <w:rPr>
          <w:rFonts w:hint="default" w:ascii="仿宋" w:hAnsi="仿宋" w:eastAsia="仿宋" w:cs="仿宋"/>
          <w:color w:val="auto"/>
          <w:spacing w:val="-6"/>
          <w:kern w:val="0"/>
          <w:sz w:val="32"/>
          <w:szCs w:val="32"/>
          <w:u w:val="none"/>
          <w:lang w:val="en-US" w:eastAsia="zh-CN"/>
        </w:rPr>
      </w:pPr>
      <w:r>
        <w:rPr>
          <w:rFonts w:hint="eastAsia" w:ascii="仿宋" w:hAnsi="仿宋" w:eastAsia="仿宋" w:cs="仿宋"/>
          <w:color w:val="auto"/>
          <w:spacing w:val="-6"/>
          <w:kern w:val="0"/>
          <w:sz w:val="32"/>
          <w:szCs w:val="32"/>
          <w:u w:val="none"/>
          <w:lang w:val="en-US" w:eastAsia="zh-CN"/>
        </w:rPr>
        <w:t>5.</w:t>
      </w:r>
      <w:r>
        <w:rPr>
          <w:rFonts w:hint="eastAsia" w:ascii="仿宋" w:hAnsi="仿宋" w:eastAsia="仿宋" w:cs="Times New Roman"/>
          <w:color w:val="auto"/>
          <w:sz w:val="32"/>
          <w:szCs w:val="32"/>
          <w:u w:val="none"/>
          <w:lang w:val="en-US" w:eastAsia="zh-CN"/>
        </w:rPr>
        <w:t>要成立学生工作队伍，积极开展校友工作，</w:t>
      </w:r>
      <w:r>
        <w:rPr>
          <w:rFonts w:hint="default" w:ascii="仿宋" w:hAnsi="仿宋" w:eastAsia="仿宋" w:cs="仿宋"/>
          <w:color w:val="auto"/>
          <w:spacing w:val="-6"/>
          <w:kern w:val="0"/>
          <w:sz w:val="32"/>
          <w:szCs w:val="32"/>
          <w:u w:val="none"/>
          <w:lang w:val="en-US" w:eastAsia="zh-CN"/>
        </w:rPr>
        <w:t>学生对学校的教学及支持服务工作满意</w:t>
      </w:r>
      <w:r>
        <w:rPr>
          <w:rFonts w:hint="eastAsia" w:ascii="仿宋" w:hAnsi="仿宋" w:eastAsia="仿宋" w:cs="仿宋"/>
          <w:color w:val="auto"/>
          <w:spacing w:val="-6"/>
          <w:kern w:val="0"/>
          <w:sz w:val="32"/>
          <w:szCs w:val="32"/>
          <w:u w:val="none"/>
          <w:lang w:val="en-US" w:eastAsia="zh-CN"/>
        </w:rPr>
        <w:t>度有待提高。</w:t>
      </w:r>
    </w:p>
    <w:p>
      <w:pPr>
        <w:pStyle w:val="2"/>
        <w:keepNext w:val="0"/>
        <w:keepLines w:val="0"/>
        <w:pageBreakBefore w:val="0"/>
        <w:kinsoku/>
        <w:wordWrap/>
        <w:overflowPunct/>
        <w:topLinePunct w:val="0"/>
        <w:autoSpaceDE/>
        <w:autoSpaceDN/>
        <w:bidi w:val="0"/>
        <w:spacing w:after="0" w:line="500" w:lineRule="exact"/>
        <w:ind w:firstLine="616" w:firstLineChars="200"/>
        <w:jc w:val="both"/>
        <w:textAlignment w:val="auto"/>
        <w:rPr>
          <w:rFonts w:hint="eastAsia" w:ascii="仿宋" w:hAnsi="仿宋" w:eastAsia="仿宋" w:cs="仿宋"/>
          <w:color w:val="auto"/>
          <w:spacing w:val="-6"/>
          <w:kern w:val="0"/>
          <w:sz w:val="32"/>
          <w:szCs w:val="32"/>
          <w:u w:val="none"/>
          <w:lang w:val="en-US" w:eastAsia="zh-CN"/>
        </w:rPr>
      </w:pPr>
      <w:r>
        <w:rPr>
          <w:rFonts w:hint="eastAsia" w:ascii="仿宋" w:hAnsi="仿宋" w:eastAsia="仿宋" w:cs="仿宋"/>
          <w:color w:val="auto"/>
          <w:spacing w:val="-6"/>
          <w:kern w:val="0"/>
          <w:sz w:val="32"/>
          <w:szCs w:val="32"/>
          <w:u w:val="none"/>
          <w:lang w:val="en-US" w:eastAsia="zh-CN"/>
        </w:rPr>
        <w:t>6.电子资源少，向社会推广优秀资源的能力有待加强。</w:t>
      </w:r>
    </w:p>
    <w:p>
      <w:pPr>
        <w:pStyle w:val="2"/>
        <w:keepNext w:val="0"/>
        <w:keepLines w:val="0"/>
        <w:pageBreakBefore w:val="0"/>
        <w:kinsoku/>
        <w:wordWrap/>
        <w:overflowPunct/>
        <w:topLinePunct w:val="0"/>
        <w:autoSpaceDE/>
        <w:autoSpaceDN/>
        <w:bidi w:val="0"/>
        <w:spacing w:after="0" w:line="500" w:lineRule="exact"/>
        <w:ind w:firstLine="616" w:firstLineChars="200"/>
        <w:jc w:val="both"/>
        <w:textAlignment w:val="auto"/>
        <w:rPr>
          <w:rFonts w:hint="eastAsia" w:ascii="仿宋" w:hAnsi="仿宋" w:eastAsia="仿宋" w:cs="仿宋"/>
          <w:color w:val="auto"/>
          <w:spacing w:val="-6"/>
          <w:kern w:val="0"/>
          <w:sz w:val="32"/>
          <w:szCs w:val="32"/>
          <w:u w:val="none"/>
          <w:lang w:val="en-US" w:eastAsia="zh-CN"/>
        </w:rPr>
      </w:pPr>
      <w:r>
        <w:rPr>
          <w:rFonts w:hint="eastAsia" w:ascii="仿宋" w:hAnsi="仿宋" w:eastAsia="仿宋" w:cs="仿宋"/>
          <w:color w:val="auto"/>
          <w:spacing w:val="-6"/>
          <w:kern w:val="0"/>
          <w:sz w:val="32"/>
          <w:szCs w:val="32"/>
          <w:u w:val="none"/>
          <w:lang w:val="en-US" w:eastAsia="zh-CN"/>
        </w:rPr>
        <w:t>7.</w:t>
      </w:r>
      <w:r>
        <w:rPr>
          <w:rFonts w:hint="default" w:ascii="仿宋" w:hAnsi="仿宋" w:eastAsia="仿宋" w:cs="仿宋"/>
          <w:color w:val="auto"/>
          <w:spacing w:val="-6"/>
          <w:kern w:val="0"/>
          <w:sz w:val="32"/>
          <w:szCs w:val="32"/>
          <w:u w:val="none"/>
          <w:lang w:val="en-US" w:eastAsia="zh-CN"/>
        </w:rPr>
        <w:t>科学研究</w:t>
      </w:r>
      <w:r>
        <w:rPr>
          <w:rFonts w:hint="eastAsia" w:ascii="仿宋" w:hAnsi="仿宋" w:eastAsia="仿宋" w:cs="仿宋"/>
          <w:color w:val="auto"/>
          <w:spacing w:val="-6"/>
          <w:kern w:val="0"/>
          <w:sz w:val="32"/>
          <w:szCs w:val="32"/>
          <w:u w:val="none"/>
          <w:lang w:val="en-US" w:eastAsia="zh-CN"/>
        </w:rPr>
        <w:t>有待于进一步加强。</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616" w:firstLineChars="200"/>
        <w:textAlignment w:val="auto"/>
        <w:rPr>
          <w:rFonts w:hint="eastAsia" w:ascii="仿宋" w:hAnsi="仿宋" w:eastAsia="仿宋" w:cs="Calibri"/>
          <w:color w:val="auto"/>
          <w:kern w:val="2"/>
          <w:sz w:val="32"/>
          <w:szCs w:val="32"/>
          <w:u w:val="none"/>
          <w:lang w:val="en-US" w:eastAsia="zh-CN" w:bidi="ar-SA"/>
        </w:rPr>
      </w:pPr>
      <w:r>
        <w:rPr>
          <w:rFonts w:hint="eastAsia" w:ascii="仿宋" w:hAnsi="仿宋" w:eastAsia="仿宋" w:cs="仿宋"/>
          <w:color w:val="auto"/>
          <w:spacing w:val="-6"/>
          <w:kern w:val="0"/>
          <w:sz w:val="32"/>
          <w:szCs w:val="32"/>
          <w:u w:val="none"/>
          <w:lang w:val="en-US" w:eastAsia="zh-CN"/>
        </w:rPr>
        <w:t>8.</w:t>
      </w:r>
      <w:r>
        <w:rPr>
          <w:rFonts w:hint="eastAsia" w:ascii="仿宋" w:hAnsi="仿宋" w:eastAsia="仿宋" w:cs="Calibri"/>
          <w:color w:val="auto"/>
          <w:kern w:val="2"/>
          <w:sz w:val="32"/>
          <w:szCs w:val="32"/>
          <w:u w:val="none"/>
          <w:lang w:val="en-US" w:eastAsia="zh-CN" w:bidi="ar-SA"/>
        </w:rPr>
        <w:t>要积极落实省校评价评估、检查督导等工作要求并有效整改。</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640" w:firstLineChars="200"/>
        <w:jc w:val="left"/>
        <w:textAlignment w:val="auto"/>
        <w:rPr>
          <w:rFonts w:hint="eastAsia" w:ascii="仿宋" w:hAnsi="仿宋" w:eastAsia="仿宋" w:cs="Calibri"/>
          <w:color w:val="auto"/>
          <w:kern w:val="2"/>
          <w:sz w:val="32"/>
          <w:szCs w:val="32"/>
          <w:u w:val="none"/>
          <w:lang w:val="en-US" w:eastAsia="zh-CN" w:bidi="ar-SA"/>
        </w:rPr>
      </w:pPr>
      <w:r>
        <w:rPr>
          <w:rFonts w:hint="eastAsia" w:ascii="仿宋" w:hAnsi="仿宋" w:eastAsia="仿宋" w:cs="Calibri"/>
          <w:color w:val="auto"/>
          <w:kern w:val="2"/>
          <w:sz w:val="32"/>
          <w:szCs w:val="32"/>
          <w:u w:val="none"/>
          <w:lang w:val="en-US" w:eastAsia="zh-CN" w:bidi="ar-SA"/>
        </w:rPr>
        <w:t>9.要进一步</w:t>
      </w:r>
      <w:bookmarkStart w:id="0" w:name="_GoBack"/>
      <w:bookmarkEnd w:id="0"/>
      <w:r>
        <w:rPr>
          <w:rFonts w:hint="eastAsia" w:ascii="仿宋" w:hAnsi="仿宋" w:eastAsia="仿宋" w:cs="Calibri"/>
          <w:color w:val="auto"/>
          <w:kern w:val="2"/>
          <w:sz w:val="32"/>
          <w:szCs w:val="32"/>
          <w:u w:val="none"/>
          <w:lang w:val="en-US" w:eastAsia="zh-CN" w:bidi="ar-SA"/>
        </w:rPr>
        <w:t>加强校外实践基地建设，加强与企业、职业院校合作办学，更好地服务地方经济社会发展。</w:t>
      </w:r>
    </w:p>
    <w:p>
      <w:pPr>
        <w:keepNext w:val="0"/>
        <w:keepLines w:val="0"/>
        <w:pageBreakBefore w:val="0"/>
        <w:widowControl/>
        <w:suppressLineNumbers w:val="0"/>
        <w:kinsoku/>
        <w:wordWrap/>
        <w:overflowPunct/>
        <w:topLinePunct w:val="0"/>
        <w:autoSpaceDE/>
        <w:autoSpaceDN/>
        <w:bidi w:val="0"/>
        <w:adjustRightInd/>
        <w:snapToGrid/>
        <w:spacing w:line="500" w:lineRule="exact"/>
        <w:ind w:firstLine="640" w:firstLineChars="200"/>
        <w:jc w:val="left"/>
        <w:textAlignment w:val="auto"/>
        <w:rPr>
          <w:rFonts w:hint="eastAsia" w:ascii="仿宋" w:hAnsi="仿宋" w:eastAsia="仿宋" w:cs="Calibri"/>
          <w:color w:val="auto"/>
          <w:kern w:val="2"/>
          <w:sz w:val="32"/>
          <w:szCs w:val="32"/>
          <w:u w:val="none"/>
          <w:lang w:val="en-US" w:eastAsia="zh-CN" w:bidi="ar-SA"/>
        </w:rPr>
      </w:pPr>
      <w:r>
        <w:rPr>
          <w:rFonts w:hint="eastAsia" w:ascii="仿宋" w:hAnsi="仿宋" w:eastAsia="仿宋" w:cs="Calibri"/>
          <w:color w:val="auto"/>
          <w:kern w:val="2"/>
          <w:sz w:val="32"/>
          <w:szCs w:val="32"/>
          <w:u w:val="none"/>
          <w:lang w:val="en-US" w:eastAsia="zh-CN" w:bidi="ar-SA"/>
        </w:rPr>
        <w:t>10.要进一步建立健全社区教育体系，积极推动老年开放大学建设。</w:t>
      </w:r>
    </w:p>
    <w:p>
      <w:pPr>
        <w:pStyle w:val="2"/>
        <w:keepNext w:val="0"/>
        <w:keepLines w:val="0"/>
        <w:pageBreakBefore w:val="0"/>
        <w:kinsoku/>
        <w:wordWrap/>
        <w:overflowPunct/>
        <w:topLinePunct w:val="0"/>
        <w:autoSpaceDE/>
        <w:autoSpaceDN/>
        <w:bidi w:val="0"/>
        <w:spacing w:after="0" w:line="500" w:lineRule="exact"/>
        <w:ind w:firstLine="616" w:firstLineChars="200"/>
        <w:jc w:val="both"/>
        <w:textAlignment w:val="auto"/>
        <w:rPr>
          <w:rFonts w:hint="eastAsia" w:ascii="仿宋" w:hAnsi="仿宋" w:eastAsia="仿宋" w:cs="仿宋"/>
          <w:color w:val="auto"/>
          <w:spacing w:val="-6"/>
          <w:kern w:val="0"/>
          <w:sz w:val="32"/>
          <w:szCs w:val="32"/>
          <w:u w:val="none"/>
          <w:lang w:val="en-US" w:eastAsia="zh-CN"/>
        </w:rPr>
      </w:pPr>
    </w:p>
    <w:sectPr>
      <w:headerReference r:id="rId3" w:type="default"/>
      <w:footerReference r:id="rId4"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方正小标宋简体">
    <w:altName w:val="方正舒体"/>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sz w:val="24"/>
                              <w:szCs w:val="24"/>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8"/>
                      <w:rPr>
                        <w:sz w:val="24"/>
                        <w:szCs w:val="24"/>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A25BCD"/>
    <w:multiLevelType w:val="singleLevel"/>
    <w:tmpl w:val="B1A25BCD"/>
    <w:lvl w:ilvl="0" w:tentative="0">
      <w:start w:val="2"/>
      <w:numFmt w:val="chineseCounting"/>
      <w:suff w:val="nothing"/>
      <w:lvlText w:val="（%1）"/>
      <w:lvlJc w:val="left"/>
      <w:pPr>
        <w:ind w:left="-90"/>
      </w:pPr>
      <w:rPr>
        <w:rFonts w:hint="eastAsia"/>
      </w:rPr>
    </w:lvl>
  </w:abstractNum>
  <w:abstractNum w:abstractNumId="1">
    <w:nsid w:val="D9D5C1ED"/>
    <w:multiLevelType w:val="singleLevel"/>
    <w:tmpl w:val="D9D5C1ED"/>
    <w:lvl w:ilvl="0" w:tentative="0">
      <w:start w:val="6"/>
      <w:numFmt w:val="chineseCounting"/>
      <w:suff w:val="nothing"/>
      <w:lvlText w:val="%1、"/>
      <w:lvlJc w:val="left"/>
      <w:rPr>
        <w:rFonts w:hint="eastAsia"/>
      </w:rPr>
    </w:lvl>
  </w:abstractNum>
  <w:abstractNum w:abstractNumId="2">
    <w:nsid w:val="DEDE5FC7"/>
    <w:multiLevelType w:val="singleLevel"/>
    <w:tmpl w:val="DEDE5FC7"/>
    <w:lvl w:ilvl="0" w:tentative="0">
      <w:start w:val="3"/>
      <w:numFmt w:val="chineseCounting"/>
      <w:suff w:val="nothing"/>
      <w:lvlText w:val="%1、"/>
      <w:lvlJc w:val="left"/>
      <w:rPr>
        <w:rFonts w:hint="eastAsia"/>
      </w:rPr>
    </w:lvl>
  </w:abstractNum>
  <w:abstractNum w:abstractNumId="3">
    <w:nsid w:val="EE7AF352"/>
    <w:multiLevelType w:val="singleLevel"/>
    <w:tmpl w:val="EE7AF352"/>
    <w:lvl w:ilvl="0" w:tentative="0">
      <w:start w:val="2"/>
      <w:numFmt w:val="chineseCounting"/>
      <w:suff w:val="nothing"/>
      <w:lvlText w:val="（%1）"/>
      <w:lvlJc w:val="left"/>
      <w:rPr>
        <w:rFonts w:hint="eastAsia"/>
      </w:rPr>
    </w:lvl>
  </w:abstractNum>
  <w:abstractNum w:abstractNumId="4">
    <w:nsid w:val="66BF78B8"/>
    <w:multiLevelType w:val="singleLevel"/>
    <w:tmpl w:val="66BF78B8"/>
    <w:lvl w:ilvl="0" w:tentative="0">
      <w:start w:val="1"/>
      <w:numFmt w:val="chineseCounting"/>
      <w:suff w:val="nothing"/>
      <w:lvlText w:val="%1、"/>
      <w:lvlJc w:val="left"/>
      <w:rPr>
        <w:rFonts w:hint="eastAsia"/>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7"/>
  <w:doNotDisplayPageBoundaries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RiNmY0NzcwZmVjMTcwMmU4MDY3ZmRiZDYwZDdhZTMifQ=="/>
  </w:docVars>
  <w:rsids>
    <w:rsidRoot w:val="0B414277"/>
    <w:rsid w:val="00073C43"/>
    <w:rsid w:val="00093369"/>
    <w:rsid w:val="00232AA0"/>
    <w:rsid w:val="002904A2"/>
    <w:rsid w:val="003B339C"/>
    <w:rsid w:val="00424226"/>
    <w:rsid w:val="004D0E30"/>
    <w:rsid w:val="004D2544"/>
    <w:rsid w:val="005B2C89"/>
    <w:rsid w:val="00646243"/>
    <w:rsid w:val="008C50F5"/>
    <w:rsid w:val="009307DB"/>
    <w:rsid w:val="00943796"/>
    <w:rsid w:val="009E58C8"/>
    <w:rsid w:val="00A84ECF"/>
    <w:rsid w:val="00D036D6"/>
    <w:rsid w:val="01250686"/>
    <w:rsid w:val="01B113E0"/>
    <w:rsid w:val="01FE41EC"/>
    <w:rsid w:val="02B625AB"/>
    <w:rsid w:val="033D67A7"/>
    <w:rsid w:val="040D43A1"/>
    <w:rsid w:val="04551172"/>
    <w:rsid w:val="049C1B9D"/>
    <w:rsid w:val="05490EF7"/>
    <w:rsid w:val="063D2F91"/>
    <w:rsid w:val="068D0515"/>
    <w:rsid w:val="07DF63DE"/>
    <w:rsid w:val="0B414277"/>
    <w:rsid w:val="0B720640"/>
    <w:rsid w:val="0C4274CE"/>
    <w:rsid w:val="0C847C19"/>
    <w:rsid w:val="0CB8432F"/>
    <w:rsid w:val="0D994B6C"/>
    <w:rsid w:val="0DB265B8"/>
    <w:rsid w:val="0E802992"/>
    <w:rsid w:val="0F774747"/>
    <w:rsid w:val="102C6414"/>
    <w:rsid w:val="10ED125E"/>
    <w:rsid w:val="11554AFB"/>
    <w:rsid w:val="11B838BD"/>
    <w:rsid w:val="12711BEB"/>
    <w:rsid w:val="130D67A1"/>
    <w:rsid w:val="131500C1"/>
    <w:rsid w:val="132A0CBC"/>
    <w:rsid w:val="13763F01"/>
    <w:rsid w:val="13C671FB"/>
    <w:rsid w:val="13D22765"/>
    <w:rsid w:val="14385EE1"/>
    <w:rsid w:val="146B50E8"/>
    <w:rsid w:val="151E0826"/>
    <w:rsid w:val="162A4C50"/>
    <w:rsid w:val="19704DB0"/>
    <w:rsid w:val="1A597422"/>
    <w:rsid w:val="1C3D121A"/>
    <w:rsid w:val="1F313A61"/>
    <w:rsid w:val="1F484D19"/>
    <w:rsid w:val="1FA81D99"/>
    <w:rsid w:val="20137A9D"/>
    <w:rsid w:val="20325F7E"/>
    <w:rsid w:val="209A4E23"/>
    <w:rsid w:val="21315EF3"/>
    <w:rsid w:val="214473ED"/>
    <w:rsid w:val="215E44A7"/>
    <w:rsid w:val="21AB18C1"/>
    <w:rsid w:val="21E01F75"/>
    <w:rsid w:val="22502C8E"/>
    <w:rsid w:val="227B1DFF"/>
    <w:rsid w:val="23501D9D"/>
    <w:rsid w:val="235B3089"/>
    <w:rsid w:val="242422DD"/>
    <w:rsid w:val="247E1C0A"/>
    <w:rsid w:val="25015E22"/>
    <w:rsid w:val="26DC08B6"/>
    <w:rsid w:val="28254577"/>
    <w:rsid w:val="289B45E2"/>
    <w:rsid w:val="29DF24AB"/>
    <w:rsid w:val="2ABC4B2B"/>
    <w:rsid w:val="2ACB1401"/>
    <w:rsid w:val="2B4125A7"/>
    <w:rsid w:val="2BC036FC"/>
    <w:rsid w:val="2C0A5F00"/>
    <w:rsid w:val="2D6D4A24"/>
    <w:rsid w:val="2E1674AF"/>
    <w:rsid w:val="304A793A"/>
    <w:rsid w:val="310B25FE"/>
    <w:rsid w:val="33757064"/>
    <w:rsid w:val="341B37F6"/>
    <w:rsid w:val="34DF18A1"/>
    <w:rsid w:val="35303AB8"/>
    <w:rsid w:val="35DA35BE"/>
    <w:rsid w:val="376143FD"/>
    <w:rsid w:val="39665CFB"/>
    <w:rsid w:val="39DC175A"/>
    <w:rsid w:val="3A36713A"/>
    <w:rsid w:val="3B6E70E8"/>
    <w:rsid w:val="3BE02ECB"/>
    <w:rsid w:val="3C1D66CE"/>
    <w:rsid w:val="3C5A549A"/>
    <w:rsid w:val="3CD129F8"/>
    <w:rsid w:val="3D1141E0"/>
    <w:rsid w:val="3DF130E3"/>
    <w:rsid w:val="3EB55580"/>
    <w:rsid w:val="3F8B3A73"/>
    <w:rsid w:val="3FFA719D"/>
    <w:rsid w:val="40974903"/>
    <w:rsid w:val="40CD75C5"/>
    <w:rsid w:val="41214BFD"/>
    <w:rsid w:val="41D374C9"/>
    <w:rsid w:val="42214EDB"/>
    <w:rsid w:val="42B03DBF"/>
    <w:rsid w:val="42FC476B"/>
    <w:rsid w:val="457E2FEE"/>
    <w:rsid w:val="46382886"/>
    <w:rsid w:val="467A38BE"/>
    <w:rsid w:val="47304439"/>
    <w:rsid w:val="47D34B28"/>
    <w:rsid w:val="488424D7"/>
    <w:rsid w:val="49115B6E"/>
    <w:rsid w:val="49C85CE1"/>
    <w:rsid w:val="4A8A1FAB"/>
    <w:rsid w:val="4BF31D51"/>
    <w:rsid w:val="4C802552"/>
    <w:rsid w:val="4CA56105"/>
    <w:rsid w:val="4D2E2890"/>
    <w:rsid w:val="4DE44309"/>
    <w:rsid w:val="4F0216D7"/>
    <w:rsid w:val="50F432F0"/>
    <w:rsid w:val="55AD4D6B"/>
    <w:rsid w:val="55BA4E40"/>
    <w:rsid w:val="56A15FD6"/>
    <w:rsid w:val="574216FD"/>
    <w:rsid w:val="595A21B7"/>
    <w:rsid w:val="59767A7D"/>
    <w:rsid w:val="5B703146"/>
    <w:rsid w:val="5BCB1926"/>
    <w:rsid w:val="5DA231D6"/>
    <w:rsid w:val="5DC10D1E"/>
    <w:rsid w:val="5E7E6D93"/>
    <w:rsid w:val="5FE07D05"/>
    <w:rsid w:val="60ED5AF8"/>
    <w:rsid w:val="61021F99"/>
    <w:rsid w:val="62840B4E"/>
    <w:rsid w:val="63BF40D6"/>
    <w:rsid w:val="643A76E0"/>
    <w:rsid w:val="650E5143"/>
    <w:rsid w:val="66056DD7"/>
    <w:rsid w:val="668337DE"/>
    <w:rsid w:val="68D84984"/>
    <w:rsid w:val="696C2D26"/>
    <w:rsid w:val="69772C41"/>
    <w:rsid w:val="6BC83CDA"/>
    <w:rsid w:val="6DD15131"/>
    <w:rsid w:val="6E041063"/>
    <w:rsid w:val="6E6048AE"/>
    <w:rsid w:val="6E977E3A"/>
    <w:rsid w:val="6F3E7040"/>
    <w:rsid w:val="7031204F"/>
    <w:rsid w:val="717368B1"/>
    <w:rsid w:val="72744FEC"/>
    <w:rsid w:val="72864D9F"/>
    <w:rsid w:val="7406703D"/>
    <w:rsid w:val="742027A0"/>
    <w:rsid w:val="77825766"/>
    <w:rsid w:val="77B27D81"/>
    <w:rsid w:val="78A376CA"/>
    <w:rsid w:val="790F19B7"/>
    <w:rsid w:val="79761AE5"/>
    <w:rsid w:val="79E603DE"/>
    <w:rsid w:val="7B8514C1"/>
    <w:rsid w:val="7ECB4467"/>
    <w:rsid w:val="7F6871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5"/>
    <w:basedOn w:val="1"/>
    <w:next w:val="1"/>
    <w:unhideWhenUsed/>
    <w:qFormat/>
    <w:uiPriority w:val="9"/>
    <w:pPr>
      <w:keepNext/>
      <w:keepLines/>
      <w:spacing w:before="280" w:after="290"/>
      <w:outlineLvl w:val="4"/>
    </w:pPr>
    <w:rPr>
      <w:rFonts w:eastAsia="楷体_GB2312"/>
      <w:b/>
      <w:bCs/>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99"/>
    <w:pPr>
      <w:spacing w:after="120"/>
    </w:pPr>
  </w:style>
  <w:style w:type="paragraph" w:styleId="3">
    <w:name w:val="Body Text First Indent"/>
    <w:basedOn w:val="2"/>
    <w:next w:val="4"/>
    <w:qFormat/>
    <w:uiPriority w:val="0"/>
    <w:pPr>
      <w:ind w:firstLine="420" w:firstLineChars="100"/>
    </w:pPr>
  </w:style>
  <w:style w:type="paragraph" w:styleId="4">
    <w:name w:val="Title"/>
    <w:basedOn w:val="1"/>
    <w:next w:val="1"/>
    <w:qFormat/>
    <w:uiPriority w:val="0"/>
    <w:pPr>
      <w:jc w:val="center"/>
      <w:outlineLvl w:val="0"/>
    </w:pPr>
    <w:rPr>
      <w:rFonts w:ascii="Arial" w:hAnsi="Arial" w:eastAsia="宋体" w:cs="Times New Roman"/>
      <w:b/>
      <w:sz w:val="32"/>
    </w:rPr>
  </w:style>
  <w:style w:type="paragraph" w:styleId="6">
    <w:name w:val="annotation text"/>
    <w:basedOn w:val="1"/>
    <w:qFormat/>
    <w:uiPriority w:val="0"/>
    <w:pPr>
      <w:jc w:val="left"/>
    </w:pPr>
  </w:style>
  <w:style w:type="paragraph" w:styleId="7">
    <w:name w:val="Balloon Text"/>
    <w:basedOn w:val="1"/>
    <w:link w:val="18"/>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Emphasis"/>
    <w:basedOn w:val="12"/>
    <w:qFormat/>
    <w:uiPriority w:val="0"/>
    <w:rPr>
      <w:i/>
    </w:rPr>
  </w:style>
  <w:style w:type="character" w:styleId="14">
    <w:name w:val="annotation reference"/>
    <w:basedOn w:val="12"/>
    <w:qFormat/>
    <w:uiPriority w:val="0"/>
    <w:rPr>
      <w:sz w:val="21"/>
      <w:szCs w:val="21"/>
    </w:rPr>
  </w:style>
  <w:style w:type="character" w:customStyle="1" w:styleId="15">
    <w:name w:val="16"/>
    <w:qFormat/>
    <w:uiPriority w:val="0"/>
    <w:rPr>
      <w:rFonts w:hint="default" w:ascii="Times New Roman" w:hAnsi="Times New Roman" w:cs="Times New Roman"/>
    </w:rPr>
  </w:style>
  <w:style w:type="paragraph" w:styleId="16">
    <w:name w:val="List Paragraph"/>
    <w:basedOn w:val="1"/>
    <w:qFormat/>
    <w:uiPriority w:val="99"/>
    <w:pPr>
      <w:ind w:firstLine="420" w:firstLineChars="200"/>
    </w:pPr>
  </w:style>
  <w:style w:type="character" w:customStyle="1" w:styleId="17">
    <w:name w:val="页眉 Char"/>
    <w:basedOn w:val="12"/>
    <w:link w:val="9"/>
    <w:qFormat/>
    <w:uiPriority w:val="0"/>
    <w:rPr>
      <w:kern w:val="2"/>
      <w:sz w:val="18"/>
      <w:szCs w:val="18"/>
    </w:rPr>
  </w:style>
  <w:style w:type="character" w:customStyle="1" w:styleId="18">
    <w:name w:val="批注框文本 Char"/>
    <w:basedOn w:val="12"/>
    <w:link w:val="7"/>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27</Pages>
  <Words>1839</Words>
  <Characters>10487</Characters>
  <Lines>87</Lines>
  <Paragraphs>24</Paragraphs>
  <TotalTime>7</TotalTime>
  <ScaleCrop>false</ScaleCrop>
  <LinksUpToDate>false</LinksUpToDate>
  <CharactersWithSpaces>12302</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2022-02-21T08:11:00Z</dcterms:created>
  <dc:creator>平</dc:creator>
  <cp:lastModifiedBy>青</cp:lastModifiedBy>
  <cp:lastPrinted>2022-06-15T04:58:00Z</cp:lastPrinted>
  <dcterms:modified xsi:type="dcterms:W3CDTF">2022-07-27T12:23:41Z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y fmtid="{D5CDD505-2E9C-101B-9397-08002B2CF9AE}" pid="3" name="ICV">
    <vt:lpwstr>23FAEB4BFBA44E2F8F2F62F80AF9C931</vt:lpwstr>
  </property>
  <property fmtid="{D5CDD505-2E9C-101B-9397-08002B2CF9AE}" pid="4" name="commondata">
    <vt:lpwstr>eyJoZGlkIjoiMzhjZjg5MDlkMDFhODA3Y2U0MTdjYzVmMWEyOGU3MTQifQ==</vt:lpwstr>
  </property>
</Properties>
</file>