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00" w:lineRule="exact"/>
        <w:rPr>
          <w:rFonts w:ascii="华文中宋" w:hAnsi="华文中宋" w:eastAsia="华文中宋" w:cs="华文中宋"/>
          <w:b/>
          <w:bCs/>
          <w:sz w:val="44"/>
          <w:szCs w:val="44"/>
          <w:u w:val="none"/>
        </w:rPr>
      </w:pPr>
    </w:p>
    <w:p>
      <w:pPr>
        <w:keepNext w:val="0"/>
        <w:keepLines w:val="0"/>
        <w:pageBreakBefore w:val="0"/>
        <w:kinsoku/>
        <w:wordWrap/>
        <w:overflowPunct/>
        <w:topLinePunct w:val="0"/>
        <w:autoSpaceDE/>
        <w:autoSpaceDN/>
        <w:bidi w:val="0"/>
        <w:spacing w:line="500" w:lineRule="exact"/>
        <w:rPr>
          <w:rFonts w:ascii="华文中宋" w:hAnsi="华文中宋" w:eastAsia="华文中宋" w:cs="华文中宋"/>
          <w:b/>
          <w:bCs/>
          <w:sz w:val="44"/>
          <w:szCs w:val="44"/>
          <w:u w:val="none"/>
        </w:rPr>
      </w:pPr>
    </w:p>
    <w:p>
      <w:pPr>
        <w:keepNext w:val="0"/>
        <w:keepLines w:val="0"/>
        <w:pageBreakBefore w:val="0"/>
        <w:kinsoku/>
        <w:wordWrap/>
        <w:overflowPunct/>
        <w:topLinePunct w:val="0"/>
        <w:autoSpaceDE/>
        <w:autoSpaceDN/>
        <w:bidi w:val="0"/>
        <w:spacing w:line="500" w:lineRule="exact"/>
        <w:jc w:val="center"/>
        <w:outlineLvl w:val="0"/>
        <w:rPr>
          <w:rFonts w:hint="eastAsia" w:ascii="方正小标宋简体" w:hAnsi="方正小标宋简体" w:eastAsia="方正小标宋简体" w:cs="方正小标宋简体"/>
          <w:b w:val="0"/>
          <w:bCs w:val="0"/>
          <w:sz w:val="44"/>
          <w:szCs w:val="44"/>
          <w:u w:val="none"/>
        </w:rPr>
      </w:pPr>
      <w:r>
        <w:rPr>
          <w:rFonts w:hint="eastAsia" w:ascii="方正小标宋简体" w:hAnsi="方正小标宋简体" w:eastAsia="方正小标宋简体" w:cs="方正小标宋简体"/>
          <w:b w:val="0"/>
          <w:bCs w:val="0"/>
          <w:sz w:val="44"/>
          <w:szCs w:val="44"/>
          <w:u w:val="none"/>
        </w:rPr>
        <w:t>鹰潭开放大学2021年度发展报告</w:t>
      </w:r>
    </w:p>
    <w:p>
      <w:pPr>
        <w:keepNext w:val="0"/>
        <w:keepLines w:val="0"/>
        <w:pageBreakBefore w:val="0"/>
        <w:kinsoku/>
        <w:wordWrap/>
        <w:overflowPunct/>
        <w:topLinePunct w:val="0"/>
        <w:autoSpaceDE/>
        <w:autoSpaceDN/>
        <w:bidi w:val="0"/>
        <w:spacing w:line="500" w:lineRule="exact"/>
        <w:jc w:val="left"/>
        <w:rPr>
          <w:rFonts w:ascii="黑体" w:hAnsi="黑体" w:eastAsia="黑体" w:cs="黑体"/>
          <w:sz w:val="32"/>
          <w:szCs w:val="32"/>
          <w:u w:val="none"/>
        </w:rPr>
      </w:pPr>
    </w:p>
    <w:p>
      <w:pPr>
        <w:keepNext w:val="0"/>
        <w:keepLines w:val="0"/>
        <w:pageBreakBefore w:val="0"/>
        <w:numPr>
          <w:ilvl w:val="0"/>
          <w:numId w:val="0"/>
        </w:numPr>
        <w:kinsoku/>
        <w:wordWrap/>
        <w:overflowPunct/>
        <w:topLinePunct w:val="0"/>
        <w:autoSpaceDE/>
        <w:autoSpaceDN/>
        <w:bidi w:val="0"/>
        <w:spacing w:line="500" w:lineRule="exact"/>
        <w:ind w:firstLine="640" w:firstLineChars="200"/>
        <w:outlineLvl w:val="0"/>
      </w:pPr>
      <w:bookmarkStart w:id="0" w:name="_Toc40173461"/>
      <w:r>
        <w:rPr>
          <w:rFonts w:hint="eastAsia" w:ascii="黑体" w:hAnsi="黑体" w:eastAsia="黑体" w:cs="黑体"/>
          <w:sz w:val="32"/>
          <w:szCs w:val="32"/>
          <w:u w:val="none"/>
          <w:lang w:val="en-US" w:eastAsia="zh-CN"/>
        </w:rPr>
        <w:t>一、</w:t>
      </w:r>
      <w:r>
        <w:rPr>
          <w:rFonts w:hint="eastAsia" w:ascii="黑体" w:hAnsi="黑体" w:eastAsia="黑体" w:cs="黑体"/>
          <w:sz w:val="32"/>
          <w:szCs w:val="32"/>
          <w:u w:val="none"/>
        </w:rPr>
        <w:t>省校重点工作推进情况</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sz w:val="32"/>
          <w:szCs w:val="32"/>
          <w:u w:val="none"/>
        </w:rPr>
      </w:pPr>
      <w:r>
        <w:rPr>
          <w:rFonts w:hint="eastAsia" w:ascii="楷体" w:hAnsi="楷体" w:eastAsia="楷体" w:cs="楷体"/>
          <w:b w:val="0"/>
          <w:bCs w:val="0"/>
          <w:sz w:val="32"/>
          <w:szCs w:val="32"/>
          <w:u w:val="none"/>
        </w:rPr>
        <w:t>（一）落实学历教育“创优提质”战略的举措</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lang w:val="en-US" w:eastAsia="zh-CN"/>
        </w:rPr>
        <w:t>学校</w:t>
      </w:r>
      <w:r>
        <w:rPr>
          <w:rFonts w:hint="eastAsia" w:ascii="仿宋" w:hAnsi="仿宋" w:eastAsia="仿宋" w:cs="仿宋"/>
          <w:sz w:val="32"/>
          <w:szCs w:val="32"/>
          <w:u w:val="none"/>
        </w:rPr>
        <w:t>成立了由党组书记、校长刘正良同志任组长</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副校长李爱山、官志龙任副组长的“开放教育全面工作考核领导小组”，由业务工作经验丰富、责任心强的中层干部任考核成员，围绕“创优提质”战略，教育教学质量这条生命线组织和开展相关工作。先后出台了一系列保障开放教育健康发展的相关制度文件，狠抓学习教育，扎实推进师德师风建设。</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b/>
          <w:bCs/>
          <w:sz w:val="32"/>
          <w:szCs w:val="32"/>
          <w:u w:val="none"/>
        </w:rPr>
      </w:pPr>
      <w:r>
        <w:rPr>
          <w:rFonts w:hint="eastAsia" w:ascii="楷体" w:hAnsi="楷体" w:eastAsia="楷体" w:cs="楷体"/>
          <w:b w:val="0"/>
          <w:bCs w:val="0"/>
          <w:sz w:val="32"/>
          <w:szCs w:val="32"/>
          <w:u w:val="none"/>
        </w:rPr>
        <w:t>（二）落实思想政治教育和意识形态工作要求的举措、效果</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一是建立思政工作制度，加强意识形态思想防线。学校认真履行意识形态工作主体责任，出台了相关制度去细化工作、明确责任，推进全方位育人的体制机制建设，将“三全育人”理念贯彻开放教育教学始终。二是建立思政教师队伍，狠抓队伍学习教育。把提高教师思想政治素质和职业道德水平摆在首要位置，以“政治学习”为抓手，建立思政课教师队伍。</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sz w:val="32"/>
          <w:szCs w:val="32"/>
          <w:u w:val="none"/>
        </w:rPr>
      </w:pPr>
      <w:r>
        <w:rPr>
          <w:rFonts w:hint="eastAsia" w:ascii="楷体" w:hAnsi="楷体" w:eastAsia="楷体" w:cs="楷体"/>
          <w:b w:val="0"/>
          <w:bCs w:val="0"/>
          <w:sz w:val="32"/>
          <w:szCs w:val="32"/>
          <w:u w:val="none"/>
        </w:rPr>
        <w:t>（三）落实办学评估、治理整顿的举措、相关保障、辐射学校系统自身组织的培训内容及效果等</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一是严肃招生纪律。严格执行开放教育招生规章制度，不跨区域招生，杜绝和任何私营教育机构合作。二是加大考试监管，严抓考试纪律。把考风考纪工作作为头等大事抓好</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做好关键环节的考务管理工作</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确保考试工作万无一失。三是加强业务工作培训，提高业务素质。每学期最少两次业务工作培训，针对招生、学籍、考务、教学等常规工作进行研讨，做到了制度化与常规化，常抓常新，形式多样。</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楷体" w:hAnsi="楷体" w:eastAsia="楷体" w:cs="楷体"/>
          <w:b w:val="0"/>
          <w:bCs w:val="0"/>
          <w:sz w:val="32"/>
          <w:szCs w:val="32"/>
          <w:u w:val="none"/>
        </w:rPr>
        <w:t>（四）落实“治招”要求的举措与效果</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上下一心、群策群力、开拓创新。校领导班子高度重视、规划招生宣传途径，把握全市各行业政策变化</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制定招生可行性方案，上下合力，达成共识，为顺利完成招生任务奠定坚实的基础。</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b/>
          <w:bCs/>
          <w:sz w:val="32"/>
          <w:szCs w:val="32"/>
          <w:u w:val="none"/>
        </w:rPr>
      </w:pPr>
      <w:r>
        <w:rPr>
          <w:rFonts w:hint="eastAsia" w:ascii="楷体" w:hAnsi="楷体" w:eastAsia="楷体" w:cs="楷体"/>
          <w:b w:val="0"/>
          <w:bCs w:val="0"/>
          <w:sz w:val="32"/>
          <w:szCs w:val="32"/>
          <w:u w:val="none"/>
        </w:rPr>
        <w:t>（五）落实“治学”要求的举措及效果</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一是完善制度，规范管理工作。修订完善了《鹰潭开放大学专兼职班主任管理办法》《鹰潭开放大学班主任工作管理考核办法》，严抓管理与考核，要求班主任督促学生按时到校上课并签到，加强过程管控，转变学员学习风气。</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二是用制度加强网上学习监控。根据新情况不断完善《鹰潭开放大学班主任工作管理考核办法》《鹰潭开放大学关于加强网上教学工作管理办法》等一系列规章制度，考核教师和学员上网次数和在线学习时间。</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三是加强网上师资队伍建设。为每门网络课程配置了至少一名课程辅导教师，做到课程辅导教师全覆盖，同时明确了网上教学的各项要求。</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sz w:val="32"/>
          <w:szCs w:val="32"/>
          <w:u w:val="none"/>
        </w:rPr>
      </w:pPr>
      <w:r>
        <w:rPr>
          <w:rFonts w:hint="eastAsia" w:ascii="仿宋" w:hAnsi="仿宋" w:eastAsia="仿宋" w:cs="仿宋"/>
          <w:sz w:val="32"/>
          <w:szCs w:val="32"/>
          <w:u w:val="none"/>
        </w:rPr>
        <w:t>四是完善学习支持服务。对教师服务学员提出了很多要求，学员提出问题，教师必须在规定时间内回</w:t>
      </w:r>
      <w:r>
        <w:rPr>
          <w:rFonts w:hint="eastAsia" w:ascii="仿宋" w:hAnsi="仿宋" w:eastAsia="仿宋" w:cs="仿宋"/>
          <w:sz w:val="32"/>
          <w:szCs w:val="32"/>
          <w:u w:val="none"/>
          <w:lang w:val="en-US" w:eastAsia="zh-CN"/>
        </w:rPr>
        <w:t>答</w:t>
      </w:r>
      <w:r>
        <w:rPr>
          <w:rFonts w:hint="eastAsia" w:ascii="仿宋" w:hAnsi="仿宋" w:eastAsia="仿宋" w:cs="仿宋"/>
          <w:sz w:val="32"/>
          <w:szCs w:val="32"/>
          <w:u w:val="none"/>
        </w:rPr>
        <w:t>问题，线上线下服务学员已纳入了规章制度中，规范教师服务质量。</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 w:hAnsi="仿宋" w:eastAsia="仿宋" w:cs="仿宋"/>
          <w:b/>
          <w:bCs/>
          <w:sz w:val="32"/>
          <w:szCs w:val="32"/>
          <w:u w:val="none"/>
        </w:rPr>
      </w:pPr>
      <w:r>
        <w:rPr>
          <w:rFonts w:hint="eastAsia" w:ascii="楷体" w:hAnsi="楷体" w:eastAsia="楷体" w:cs="楷体"/>
          <w:b w:val="0"/>
          <w:bCs w:val="0"/>
          <w:sz w:val="32"/>
          <w:szCs w:val="32"/>
          <w:u w:val="none"/>
        </w:rPr>
        <w:t>（六）落实“治考”要求的举措及效果</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仿宋" w:hAnsi="仿宋" w:eastAsia="仿宋" w:cs="仿宋"/>
          <w:sz w:val="32"/>
          <w:szCs w:val="32"/>
          <w:u w:val="none"/>
        </w:rPr>
      </w:pPr>
      <w:r>
        <w:rPr>
          <w:rFonts w:hint="eastAsia" w:ascii="仿宋" w:hAnsi="仿宋" w:eastAsia="仿宋" w:cs="仿宋"/>
          <w:sz w:val="32"/>
          <w:szCs w:val="32"/>
          <w:u w:val="none"/>
        </w:rPr>
        <w:t>考前充分准备，制定了《期末考试实施方案》《考试疫情防控工作方案》《期末考试突发事件应急预案》，成立了考试工作领导小组，将工作人员细分为若干个执行小组，如巡考组、考务组、后勤保障及疫情防控组、安全保卫及证件查验组、体温检测及防疫行程码检查组、舆情监控组、试卷保管组、监考组、突发事件应急组等，明确了所有岗位的职责和工作任务，健全了规章制度和考试监督机制。</w:t>
      </w:r>
    </w:p>
    <w:p>
      <w:pPr>
        <w:keepNext w:val="0"/>
        <w:keepLines w:val="0"/>
        <w:pageBreakBefore w:val="0"/>
        <w:numPr>
          <w:ilvl w:val="0"/>
          <w:numId w:val="1"/>
        </w:numPr>
        <w:kinsoku/>
        <w:wordWrap/>
        <w:overflowPunct/>
        <w:topLinePunct w:val="0"/>
        <w:autoSpaceDE/>
        <w:autoSpaceDN/>
        <w:bidi w:val="0"/>
        <w:adjustRightInd w:val="0"/>
        <w:snapToGrid w:val="0"/>
        <w:spacing w:line="500" w:lineRule="exact"/>
        <w:ind w:firstLine="640" w:firstLineChars="200"/>
        <w:outlineLvl w:val="1"/>
        <w:rPr>
          <w:rFonts w:hint="eastAsia" w:ascii="楷体" w:hAnsi="楷体" w:eastAsia="楷体" w:cs="楷体"/>
          <w:b w:val="0"/>
          <w:bCs w:val="0"/>
          <w:sz w:val="32"/>
          <w:szCs w:val="32"/>
          <w:u w:val="none"/>
          <w:lang w:eastAsia="zh-CN"/>
        </w:rPr>
      </w:pPr>
      <w:r>
        <w:rPr>
          <w:rFonts w:hint="eastAsia" w:ascii="楷体" w:hAnsi="楷体" w:eastAsia="楷体" w:cs="楷体"/>
          <w:b w:val="0"/>
          <w:bCs w:val="0"/>
          <w:sz w:val="32"/>
          <w:szCs w:val="32"/>
          <w:u w:val="none"/>
          <w:lang w:eastAsia="zh-CN"/>
        </w:rPr>
        <w:t>推进市县电大更名</w:t>
      </w:r>
    </w:p>
    <w:p>
      <w:pPr>
        <w:pStyle w:val="2"/>
        <w:numPr>
          <w:ilvl w:val="0"/>
          <w:numId w:val="0"/>
        </w:numPr>
        <w:rPr>
          <w:rFonts w:hint="default" w:ascii="仿宋" w:hAnsi="仿宋" w:eastAsia="仿宋" w:cs="仿宋"/>
          <w:kern w:val="2"/>
          <w:sz w:val="32"/>
          <w:szCs w:val="32"/>
          <w:u w:val="none"/>
          <w:lang w:val="en-US" w:eastAsia="zh-CN" w:bidi="ar-SA"/>
        </w:rPr>
      </w:pPr>
      <w:r>
        <w:rPr>
          <w:rFonts w:hint="eastAsia"/>
          <w:lang w:val="en-US" w:eastAsia="zh-CN"/>
        </w:rPr>
        <w:t xml:space="preserve">      </w:t>
      </w:r>
      <w:r>
        <w:rPr>
          <w:rFonts w:hint="eastAsia" w:ascii="仿宋" w:hAnsi="仿宋" w:eastAsia="仿宋" w:cs="仿宋"/>
          <w:kern w:val="2"/>
          <w:sz w:val="32"/>
          <w:szCs w:val="32"/>
          <w:u w:val="none"/>
          <w:lang w:val="en-US" w:eastAsia="zh-CN" w:bidi="ar-SA"/>
        </w:rPr>
        <w:t>2021年9月市校更名，12月完成贵溪市开放学院更名工作。</w:t>
      </w:r>
    </w:p>
    <w:p>
      <w:pPr>
        <w:keepNext w:val="0"/>
        <w:keepLines w:val="0"/>
        <w:pageBreakBefore w:val="0"/>
        <w:kinsoku/>
        <w:wordWrap/>
        <w:overflowPunct/>
        <w:topLinePunct w:val="0"/>
        <w:autoSpaceDE/>
        <w:autoSpaceDN/>
        <w:bidi w:val="0"/>
        <w:spacing w:line="500" w:lineRule="exact"/>
        <w:ind w:firstLine="640" w:firstLineChars="200"/>
        <w:outlineLvl w:val="0"/>
        <w:rPr>
          <w:rFonts w:ascii="黑体" w:hAnsi="黑体" w:eastAsia="黑体" w:cs="黑体"/>
          <w:kern w:val="0"/>
          <w:sz w:val="32"/>
          <w:szCs w:val="32"/>
          <w:u w:val="none"/>
        </w:rPr>
      </w:pPr>
      <w:r>
        <w:rPr>
          <w:rFonts w:hint="eastAsia" w:ascii="黑体" w:hAnsi="黑体" w:eastAsia="黑体" w:cs="黑体"/>
          <w:sz w:val="32"/>
          <w:szCs w:val="32"/>
          <w:u w:val="none"/>
          <w:lang w:val="en-US" w:eastAsia="zh-CN"/>
        </w:rPr>
        <w:t>二、</w:t>
      </w:r>
      <w:r>
        <w:rPr>
          <w:rFonts w:hint="eastAsia" w:ascii="黑体" w:hAnsi="黑体" w:eastAsia="黑体" w:cs="黑体"/>
          <w:sz w:val="32"/>
          <w:szCs w:val="32"/>
          <w:u w:val="none"/>
        </w:rPr>
        <w:t>人才培养</w:t>
      </w:r>
      <w:bookmarkEnd w:id="0"/>
      <w:r>
        <w:rPr>
          <w:rFonts w:hint="eastAsia" w:ascii="黑体" w:hAnsi="黑体" w:eastAsia="黑体" w:cs="黑体"/>
          <w:kern w:val="0"/>
          <w:sz w:val="32"/>
          <w:szCs w:val="32"/>
          <w:u w:val="none"/>
        </w:rPr>
        <w:t xml:space="preserve">  </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（一）学历教育整体培养情况</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仿宋" w:hAnsi="仿宋" w:eastAsia="仿宋" w:cs="仿宋"/>
          <w:sz w:val="32"/>
          <w:szCs w:val="32"/>
          <w:u w:val="none"/>
        </w:rPr>
      </w:pPr>
      <w:r>
        <w:rPr>
          <w:rFonts w:hint="eastAsia" w:ascii="仿宋" w:hAnsi="仿宋" w:eastAsia="仿宋" w:cs="仿宋"/>
          <w:sz w:val="32"/>
          <w:szCs w:val="32"/>
          <w:u w:val="none"/>
        </w:rPr>
        <w:t>2021年度各类在籍（校）生2430人，同比增加205.66%；共培养各类毕业生共736人，同比增加5.60%。</w:t>
      </w:r>
    </w:p>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sz w:val="32"/>
          <w:szCs w:val="32"/>
          <w:u w:val="none"/>
        </w:rPr>
      </w:pPr>
      <w:r>
        <w:rPr>
          <w:rFonts w:hint="eastAsia" w:ascii="仿宋" w:hAnsi="仿宋" w:eastAsia="仿宋" w:cs="仿宋"/>
          <w:sz w:val="32"/>
          <w:szCs w:val="32"/>
          <w:u w:val="none"/>
        </w:rPr>
        <w:t>1.</w:t>
      </w:r>
      <w:r>
        <w:rPr>
          <w:rFonts w:hint="eastAsia" w:ascii="仿宋" w:hAnsi="仿宋" w:eastAsia="仿宋" w:cs="仿宋"/>
          <w:sz w:val="32"/>
          <w:szCs w:val="32"/>
          <w:u w:val="none"/>
          <w:lang w:val="en-US" w:eastAsia="zh-CN"/>
        </w:rPr>
        <w:t>开放</w:t>
      </w:r>
      <w:r>
        <w:rPr>
          <w:rFonts w:hint="eastAsia" w:ascii="仿宋" w:hAnsi="仿宋" w:eastAsia="仿宋" w:cs="仿宋"/>
          <w:sz w:val="32"/>
          <w:szCs w:val="32"/>
          <w:u w:val="none"/>
        </w:rPr>
        <w:t>教育</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hint="eastAsia" w:ascii="仿宋" w:hAnsi="仿宋" w:eastAsia="仿宋" w:cs="仿宋"/>
          <w:sz w:val="32"/>
          <w:szCs w:val="32"/>
          <w:u w:val="none"/>
        </w:rPr>
      </w:pPr>
      <w:r>
        <w:rPr>
          <w:rFonts w:hint="eastAsia" w:ascii="仿宋" w:hAnsi="仿宋" w:eastAsia="仿宋" w:cs="仿宋"/>
          <w:sz w:val="32"/>
          <w:szCs w:val="32"/>
          <w:u w:val="none"/>
        </w:rPr>
        <w:t>2021年度共有</w:t>
      </w:r>
      <w:r>
        <w:rPr>
          <w:rFonts w:hint="eastAsia" w:ascii="仿宋" w:hAnsi="仿宋" w:eastAsia="仿宋" w:cs="仿宋"/>
          <w:sz w:val="32"/>
          <w:szCs w:val="32"/>
          <w:u w:val="none"/>
          <w:lang w:val="en-US" w:eastAsia="zh-CN"/>
        </w:rPr>
        <w:t>开放</w:t>
      </w:r>
      <w:r>
        <w:rPr>
          <w:rFonts w:hint="eastAsia" w:ascii="仿宋" w:hAnsi="仿宋" w:eastAsia="仿宋" w:cs="仿宋"/>
          <w:sz w:val="32"/>
          <w:szCs w:val="32"/>
          <w:u w:val="none"/>
        </w:rPr>
        <w:t>教育在籍生2223人，同比增加218.48%。其中，本科548人，占比24.65%；专科1675人，占比75.35%。2021年度共培养</w:t>
      </w:r>
      <w:r>
        <w:rPr>
          <w:rFonts w:hint="eastAsia" w:ascii="仿宋" w:hAnsi="仿宋" w:eastAsia="仿宋" w:cs="仿宋"/>
          <w:sz w:val="32"/>
          <w:szCs w:val="32"/>
          <w:u w:val="none"/>
          <w:lang w:val="en-US" w:eastAsia="zh-CN"/>
        </w:rPr>
        <w:t>开放</w:t>
      </w:r>
      <w:r>
        <w:rPr>
          <w:rFonts w:hint="eastAsia" w:ascii="仿宋" w:hAnsi="仿宋" w:eastAsia="仿宋" w:cs="仿宋"/>
          <w:sz w:val="32"/>
          <w:szCs w:val="32"/>
          <w:u w:val="none"/>
        </w:rPr>
        <w:t>教育毕业生736人。其中，本科204人，占比27.72%；专科532人，占比72.28%。</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left="640" w:leftChars="0"/>
        <w:textAlignment w:val="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2.成人高等教育</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left="640" w:leftChars="0"/>
        <w:textAlignment w:val="auto"/>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未开展。</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outlineLvl w:val="2"/>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3</w:t>
      </w:r>
      <w:r>
        <w:rPr>
          <w:rFonts w:hint="eastAsia" w:ascii="仿宋" w:hAnsi="仿宋" w:eastAsia="仿宋" w:cs="仿宋"/>
          <w:sz w:val="32"/>
          <w:szCs w:val="32"/>
          <w:u w:val="none"/>
        </w:rPr>
        <w:t>.职业教育（</w:t>
      </w:r>
      <w:r>
        <w:rPr>
          <w:rFonts w:hint="eastAsia" w:ascii="仿宋" w:hAnsi="仿宋" w:eastAsia="仿宋" w:cs="仿宋"/>
          <w:sz w:val="32"/>
          <w:szCs w:val="32"/>
          <w:u w:val="none"/>
          <w:lang w:val="en-US" w:eastAsia="zh-CN"/>
        </w:rPr>
        <w:t>高职</w:t>
      </w:r>
      <w:r>
        <w:rPr>
          <w:rFonts w:hint="eastAsia" w:ascii="仿宋" w:hAnsi="仿宋" w:eastAsia="仿宋" w:cs="仿宋"/>
          <w:sz w:val="32"/>
          <w:szCs w:val="32"/>
          <w:u w:val="none"/>
        </w:rPr>
        <w:t>扩招）</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 w:hAnsi="仿宋" w:eastAsia="仿宋" w:cs="仿宋"/>
          <w:sz w:val="32"/>
          <w:szCs w:val="32"/>
          <w:u w:val="none"/>
        </w:rPr>
      </w:pPr>
      <w:r>
        <w:rPr>
          <w:rFonts w:hint="eastAsia" w:ascii="仿宋" w:hAnsi="仿宋" w:eastAsia="仿宋" w:cs="仿宋"/>
          <w:sz w:val="32"/>
          <w:szCs w:val="32"/>
          <w:u w:val="none"/>
        </w:rPr>
        <w:t>2021年度共有职业教育（</w:t>
      </w:r>
      <w:r>
        <w:rPr>
          <w:rFonts w:hint="eastAsia" w:ascii="仿宋" w:hAnsi="仿宋" w:eastAsia="仿宋" w:cs="仿宋"/>
          <w:sz w:val="32"/>
          <w:szCs w:val="32"/>
          <w:u w:val="none"/>
          <w:lang w:val="en-US" w:eastAsia="zh-CN"/>
        </w:rPr>
        <w:t>高职</w:t>
      </w:r>
      <w:r>
        <w:rPr>
          <w:rFonts w:hint="eastAsia" w:ascii="仿宋" w:hAnsi="仿宋" w:eastAsia="仿宋" w:cs="仿宋"/>
          <w:sz w:val="32"/>
          <w:szCs w:val="32"/>
          <w:u w:val="none"/>
        </w:rPr>
        <w:t>扩招）在校生207人（含本年</w:t>
      </w:r>
      <w:r>
        <w:rPr>
          <w:rFonts w:hint="eastAsia" w:ascii="仿宋" w:hAnsi="仿宋" w:eastAsia="仿宋" w:cs="仿宋"/>
          <w:sz w:val="32"/>
          <w:szCs w:val="32"/>
          <w:u w:val="none"/>
          <w:lang w:eastAsia="zh-CN"/>
        </w:rPr>
        <w:t>度</w:t>
      </w:r>
      <w:r>
        <w:rPr>
          <w:rFonts w:hint="eastAsia" w:ascii="仿宋" w:hAnsi="仿宋" w:eastAsia="仿宋" w:cs="仿宋"/>
          <w:sz w:val="32"/>
          <w:szCs w:val="32"/>
          <w:u w:val="none"/>
        </w:rPr>
        <w:t>招录人数），同比增加113.4%。</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kern w:val="0"/>
          <w:sz w:val="28"/>
          <w:szCs w:val="28"/>
          <w:u w:val="none"/>
        </w:rPr>
      </w:pP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kern w:val="0"/>
          <w:sz w:val="28"/>
          <w:szCs w:val="28"/>
          <w:u w:val="none"/>
        </w:rPr>
      </w:pP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sz w:val="28"/>
          <w:szCs w:val="28"/>
          <w:u w:val="none"/>
        </w:rPr>
      </w:pPr>
      <w:r>
        <w:rPr>
          <w:rFonts w:hint="eastAsia" w:ascii="仿宋" w:hAnsi="仿宋" w:eastAsia="仿宋" w:cs="仿宋"/>
          <w:kern w:val="0"/>
          <w:sz w:val="28"/>
          <w:szCs w:val="28"/>
          <w:u w:val="none"/>
        </w:rPr>
        <w:t>表2-1</w:t>
      </w:r>
      <w:r>
        <w:rPr>
          <w:rFonts w:hint="eastAsia" w:ascii="仿宋" w:hAnsi="仿宋" w:eastAsia="仿宋" w:cs="仿宋"/>
          <w:sz w:val="28"/>
          <w:szCs w:val="28"/>
          <w:u w:val="none"/>
        </w:rPr>
        <w:t xml:space="preserve"> 2021</w:t>
      </w:r>
      <w:r>
        <w:rPr>
          <w:rFonts w:hint="eastAsia" w:ascii="仿宋" w:hAnsi="仿宋" w:eastAsia="仿宋" w:cs="仿宋"/>
          <w:kern w:val="0"/>
          <w:sz w:val="28"/>
          <w:szCs w:val="28"/>
          <w:u w:val="none"/>
        </w:rPr>
        <w:t>年度学历教育在籍（校）生人数</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1450"/>
        <w:gridCol w:w="1921"/>
        <w:gridCol w:w="2042"/>
        <w:gridCol w:w="23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7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层次</w:t>
            </w:r>
          </w:p>
        </w:tc>
        <w:tc>
          <w:tcPr>
            <w:tcW w:w="80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类型</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在籍（校）生人数</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本年度</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招生人数</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本年度</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本科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开放本科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548</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345</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专科</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开放专科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1675</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1180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成人专科</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高职扩招</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207</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110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703"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中专</w:t>
            </w:r>
          </w:p>
        </w:tc>
        <w:tc>
          <w:tcPr>
            <w:tcW w:w="80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成人中专</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合计</w:t>
            </w:r>
          </w:p>
        </w:tc>
        <w:tc>
          <w:tcPr>
            <w:tcW w:w="1060"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2430</w:t>
            </w:r>
          </w:p>
        </w:tc>
        <w:tc>
          <w:tcPr>
            <w:tcW w:w="1127"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1635</w:t>
            </w:r>
          </w:p>
        </w:tc>
        <w:tc>
          <w:tcPr>
            <w:tcW w:w="1308" w:type="pc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736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trPr>
        <w:tc>
          <w:tcPr>
            <w:tcW w:w="1503" w:type="pct"/>
            <w:gridSpan w:val="2"/>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全省排名</w:t>
            </w:r>
          </w:p>
        </w:tc>
        <w:tc>
          <w:tcPr>
            <w:tcW w:w="10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10</w:t>
            </w:r>
          </w:p>
        </w:tc>
        <w:tc>
          <w:tcPr>
            <w:tcW w:w="112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9</w:t>
            </w:r>
          </w:p>
        </w:tc>
        <w:tc>
          <w:tcPr>
            <w:tcW w:w="1308"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11</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（二）非学历教育整体培养情况</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kern w:val="0"/>
          <w:sz w:val="32"/>
          <w:szCs w:val="32"/>
          <w:u w:val="none"/>
        </w:rPr>
      </w:pPr>
      <w:r>
        <w:rPr>
          <w:rFonts w:hint="eastAsia" w:ascii="仿宋" w:hAnsi="仿宋" w:eastAsia="仿宋" w:cs="仿宋"/>
          <w:sz w:val="32"/>
          <w:szCs w:val="32"/>
          <w:u w:val="none"/>
        </w:rPr>
        <w:t>2021年度非学历继续教育项目</w:t>
      </w:r>
      <w:r>
        <w:rPr>
          <w:rFonts w:hint="eastAsia" w:ascii="仿宋" w:hAnsi="仿宋" w:eastAsia="仿宋" w:cs="仿宋"/>
          <w:sz w:val="32"/>
          <w:szCs w:val="32"/>
          <w:u w:val="none"/>
          <w:lang w:val="en-US" w:eastAsia="zh-CN"/>
        </w:rPr>
        <w:t>4</w:t>
      </w:r>
      <w:r>
        <w:rPr>
          <w:rFonts w:hint="eastAsia" w:ascii="仿宋" w:hAnsi="仿宋" w:eastAsia="仿宋" w:cs="仿宋"/>
          <w:sz w:val="32"/>
          <w:szCs w:val="32"/>
          <w:u w:val="none"/>
        </w:rPr>
        <w:t>个，开设培训班</w:t>
      </w:r>
      <w:r>
        <w:rPr>
          <w:rFonts w:hint="eastAsia" w:ascii="仿宋" w:hAnsi="仿宋" w:eastAsia="仿宋" w:cs="仿宋"/>
          <w:sz w:val="32"/>
          <w:szCs w:val="32"/>
          <w:u w:val="none"/>
          <w:lang w:val="en-US" w:eastAsia="zh-CN"/>
        </w:rPr>
        <w:t>11</w:t>
      </w:r>
      <w:r>
        <w:rPr>
          <w:rFonts w:hint="eastAsia" w:ascii="仿宋" w:hAnsi="仿宋" w:eastAsia="仿宋" w:cs="仿宋"/>
          <w:sz w:val="32"/>
          <w:szCs w:val="32"/>
          <w:u w:val="none"/>
        </w:rPr>
        <w:t>个班次，培训规模</w:t>
      </w:r>
      <w:r>
        <w:rPr>
          <w:rFonts w:hint="eastAsia" w:ascii="仿宋" w:hAnsi="仿宋" w:eastAsia="仿宋" w:cs="仿宋"/>
          <w:sz w:val="32"/>
          <w:szCs w:val="32"/>
          <w:u w:val="none"/>
          <w:lang w:val="en-US" w:eastAsia="zh-CN"/>
        </w:rPr>
        <w:t>260</w:t>
      </w:r>
      <w:r>
        <w:rPr>
          <w:rFonts w:hint="eastAsia" w:ascii="仿宋" w:hAnsi="仿宋" w:eastAsia="仿宋" w:cs="仿宋"/>
          <w:sz w:val="32"/>
          <w:szCs w:val="32"/>
          <w:u w:val="none"/>
        </w:rPr>
        <w:t>人次，</w:t>
      </w:r>
      <w:r>
        <w:rPr>
          <w:rFonts w:hint="eastAsia" w:ascii="仿宋" w:hAnsi="仿宋" w:eastAsia="仿宋" w:cs="仿宋"/>
          <w:kern w:val="0"/>
          <w:sz w:val="32"/>
          <w:szCs w:val="32"/>
          <w:u w:val="none"/>
        </w:rPr>
        <w:t>同比增长</w:t>
      </w:r>
      <w:r>
        <w:rPr>
          <w:rFonts w:hint="eastAsia" w:ascii="仿宋" w:hAnsi="仿宋" w:eastAsia="仿宋" w:cs="仿宋"/>
          <w:sz w:val="32"/>
          <w:szCs w:val="32"/>
          <w:u w:val="none"/>
        </w:rPr>
        <w:t>700</w:t>
      </w:r>
      <w:r>
        <w:rPr>
          <w:rFonts w:hint="eastAsia" w:ascii="仿宋" w:hAnsi="仿宋" w:eastAsia="仿宋" w:cs="仿宋"/>
          <w:kern w:val="0"/>
          <w:sz w:val="32"/>
          <w:szCs w:val="32"/>
          <w:u w:val="none"/>
        </w:rPr>
        <w:t>%</w:t>
      </w:r>
      <w:r>
        <w:rPr>
          <w:rFonts w:hint="eastAsia" w:ascii="仿宋" w:hAnsi="仿宋" w:eastAsia="仿宋" w:cs="仿宋"/>
          <w:sz w:val="32"/>
          <w:szCs w:val="32"/>
          <w:u w:val="none"/>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表2-2</w:t>
      </w:r>
      <w:r>
        <w:rPr>
          <w:rFonts w:hint="eastAsia" w:ascii="仿宋" w:hAnsi="仿宋" w:eastAsia="仿宋" w:cs="仿宋"/>
          <w:sz w:val="28"/>
          <w:szCs w:val="28"/>
          <w:u w:val="none"/>
        </w:rPr>
        <w:t xml:space="preserve"> </w:t>
      </w:r>
      <w:r>
        <w:rPr>
          <w:rFonts w:hint="eastAsia" w:ascii="仿宋" w:hAnsi="仿宋" w:eastAsia="仿宋" w:cs="仿宋"/>
          <w:sz w:val="28"/>
          <w:szCs w:val="28"/>
          <w:u w:val="none"/>
          <w:lang w:val="en-US" w:eastAsia="zh-CN"/>
        </w:rPr>
        <w:t>2021</w:t>
      </w:r>
      <w:r>
        <w:rPr>
          <w:rFonts w:hint="eastAsia" w:ascii="仿宋" w:hAnsi="仿宋" w:eastAsia="仿宋" w:cs="仿宋"/>
          <w:kern w:val="0"/>
          <w:sz w:val="28"/>
          <w:szCs w:val="28"/>
          <w:u w:val="none"/>
        </w:rPr>
        <w:t>年</w:t>
      </w:r>
      <w:r>
        <w:rPr>
          <w:rFonts w:hint="eastAsia" w:ascii="仿宋" w:hAnsi="仿宋" w:eastAsia="仿宋" w:cs="仿宋"/>
          <w:kern w:val="0"/>
          <w:sz w:val="28"/>
          <w:szCs w:val="28"/>
          <w:u w:val="none"/>
          <w:lang w:eastAsia="zh-CN"/>
        </w:rPr>
        <w:t>度</w:t>
      </w:r>
      <w:r>
        <w:rPr>
          <w:rFonts w:hint="eastAsia" w:ascii="仿宋" w:hAnsi="仿宋" w:eastAsia="仿宋" w:cs="仿宋"/>
          <w:kern w:val="0"/>
          <w:sz w:val="28"/>
          <w:szCs w:val="28"/>
          <w:u w:val="none"/>
        </w:rPr>
        <w:t>非学历教育情况</w:t>
      </w:r>
    </w:p>
    <w:tbl>
      <w:tblPr>
        <w:tblStyle w:val="8"/>
        <w:tblW w:w="4998" w:type="pct"/>
        <w:jc w:val="center"/>
        <w:tblLayout w:type="autofit"/>
        <w:tblCellMar>
          <w:top w:w="0" w:type="dxa"/>
          <w:left w:w="108" w:type="dxa"/>
          <w:bottom w:w="0" w:type="dxa"/>
          <w:right w:w="108" w:type="dxa"/>
        </w:tblCellMar>
      </w:tblPr>
      <w:tblGrid>
        <w:gridCol w:w="793"/>
        <w:gridCol w:w="1455"/>
        <w:gridCol w:w="4953"/>
        <w:gridCol w:w="906"/>
        <w:gridCol w:w="950"/>
      </w:tblGrid>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序号</w:t>
            </w:r>
          </w:p>
        </w:tc>
        <w:tc>
          <w:tcPr>
            <w:tcW w:w="80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行业</w:t>
            </w:r>
          </w:p>
        </w:tc>
        <w:tc>
          <w:tcPr>
            <w:tcW w:w="273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培训对象</w:t>
            </w:r>
          </w:p>
        </w:tc>
        <w:tc>
          <w:tcPr>
            <w:tcW w:w="50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班次</w:t>
            </w:r>
          </w:p>
        </w:tc>
        <w:tc>
          <w:tcPr>
            <w:tcW w:w="524"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人次</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烘焙类</w:t>
            </w:r>
          </w:p>
        </w:tc>
        <w:tc>
          <w:tcPr>
            <w:tcW w:w="273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人社局认定的烘焙类人才</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40</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计算机类</w:t>
            </w:r>
          </w:p>
        </w:tc>
        <w:tc>
          <w:tcPr>
            <w:tcW w:w="273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社区干部</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30</w:t>
            </w:r>
          </w:p>
        </w:tc>
      </w:tr>
      <w:tr>
        <w:tblPrEx>
          <w:tblCellMar>
            <w:top w:w="0" w:type="dxa"/>
            <w:left w:w="108" w:type="dxa"/>
            <w:bottom w:w="0" w:type="dxa"/>
            <w:right w:w="108" w:type="dxa"/>
          </w:tblCellMar>
        </w:tblPrEx>
        <w:trPr>
          <w:trHeight w:val="340" w:hRule="atLeas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会计类</w:t>
            </w:r>
          </w:p>
        </w:tc>
        <w:tc>
          <w:tcPr>
            <w:tcW w:w="273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社会人士</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70</w:t>
            </w:r>
          </w:p>
        </w:tc>
      </w:tr>
      <w:tr>
        <w:tblPrEx>
          <w:tblCellMar>
            <w:top w:w="0" w:type="dxa"/>
            <w:left w:w="108" w:type="dxa"/>
            <w:bottom w:w="0" w:type="dxa"/>
            <w:right w:w="108" w:type="dxa"/>
          </w:tblCellMar>
        </w:tblPrEx>
        <w:trPr>
          <w:trHeight w:val="340" w:hRule="exact"/>
          <w:jc w:val="center"/>
        </w:trPr>
        <w:tc>
          <w:tcPr>
            <w:tcW w:w="43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4</w:t>
            </w:r>
          </w:p>
        </w:tc>
        <w:tc>
          <w:tcPr>
            <w:tcW w:w="80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应急救护</w:t>
            </w:r>
          </w:p>
        </w:tc>
        <w:tc>
          <w:tcPr>
            <w:tcW w:w="273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机关、企事业单位、社区干部</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6</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spacing w:line="32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120</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合计</w:t>
            </w:r>
          </w:p>
        </w:tc>
        <w:tc>
          <w:tcPr>
            <w:tcW w:w="500"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11</w:t>
            </w:r>
          </w:p>
        </w:tc>
        <w:tc>
          <w:tcPr>
            <w:tcW w:w="524"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2</w:t>
            </w:r>
            <w:r>
              <w:rPr>
                <w:rFonts w:hint="eastAsia" w:ascii="仿宋" w:hAnsi="仿宋" w:eastAsia="仿宋" w:cs="仿宋"/>
                <w:kern w:val="0"/>
                <w:sz w:val="28"/>
                <w:szCs w:val="28"/>
                <w:u w:val="none"/>
                <w:lang w:val="en-US" w:eastAsia="zh-CN"/>
              </w:rPr>
              <w:t>6</w:t>
            </w:r>
            <w:r>
              <w:rPr>
                <w:rFonts w:hint="eastAsia" w:ascii="仿宋" w:hAnsi="仿宋" w:eastAsia="仿宋" w:cs="仿宋"/>
                <w:kern w:val="0"/>
                <w:sz w:val="28"/>
                <w:szCs w:val="28"/>
                <w:u w:val="none"/>
              </w:rPr>
              <w:t>0</w:t>
            </w:r>
          </w:p>
        </w:tc>
      </w:tr>
      <w:tr>
        <w:tblPrEx>
          <w:tblCellMar>
            <w:top w:w="0" w:type="dxa"/>
            <w:left w:w="108" w:type="dxa"/>
            <w:bottom w:w="0" w:type="dxa"/>
            <w:right w:w="108" w:type="dxa"/>
          </w:tblCellMar>
        </w:tblPrEx>
        <w:trPr>
          <w:trHeight w:val="340" w:hRule="exact"/>
          <w:jc w:val="center"/>
        </w:trPr>
        <w:tc>
          <w:tcPr>
            <w:tcW w:w="3974" w:type="pct"/>
            <w:gridSpan w:val="3"/>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全省排名</w:t>
            </w:r>
          </w:p>
        </w:tc>
        <w:tc>
          <w:tcPr>
            <w:tcW w:w="500"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eastAsia"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8</w:t>
            </w:r>
          </w:p>
        </w:tc>
        <w:tc>
          <w:tcPr>
            <w:tcW w:w="524"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val="0"/>
              <w:snapToGrid w:val="0"/>
              <w:spacing w:line="320" w:lineRule="exact"/>
              <w:jc w:val="center"/>
              <w:textAlignment w:val="center"/>
              <w:rPr>
                <w:rFonts w:hint="default" w:ascii="仿宋" w:hAnsi="仿宋" w:eastAsia="仿宋" w:cs="仿宋"/>
                <w:kern w:val="0"/>
                <w:sz w:val="28"/>
                <w:szCs w:val="28"/>
                <w:u w:val="none"/>
                <w:lang w:val="en-US" w:eastAsia="zh-CN"/>
              </w:rPr>
            </w:pPr>
            <w:r>
              <w:rPr>
                <w:rFonts w:hint="eastAsia" w:ascii="仿宋" w:hAnsi="仿宋" w:eastAsia="仿宋" w:cs="仿宋"/>
                <w:kern w:val="0"/>
                <w:sz w:val="28"/>
                <w:szCs w:val="28"/>
                <w:u w:val="none"/>
                <w:lang w:val="en-US" w:eastAsia="zh-CN"/>
              </w:rPr>
              <w:t>10</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（三）学校专业设置情况</w:t>
      </w:r>
    </w:p>
    <w:p>
      <w:pPr>
        <w:keepNext w:val="0"/>
        <w:keepLines w:val="0"/>
        <w:pageBreakBefore w:val="0"/>
        <w:kinsoku/>
        <w:wordWrap/>
        <w:overflowPunct/>
        <w:topLinePunct w:val="0"/>
        <w:autoSpaceDE/>
        <w:autoSpaceDN/>
        <w:bidi w:val="0"/>
        <w:spacing w:line="500" w:lineRule="exact"/>
        <w:ind w:firstLine="640" w:firstLineChars="200"/>
        <w:rPr>
          <w:rFonts w:ascii="仿宋" w:hAnsi="仿宋" w:eastAsia="仿宋" w:cs="仿宋"/>
          <w:sz w:val="32"/>
          <w:szCs w:val="32"/>
          <w:u w:val="none"/>
        </w:rPr>
      </w:pPr>
      <w:r>
        <w:rPr>
          <w:rFonts w:hint="eastAsia" w:ascii="仿宋" w:hAnsi="仿宋" w:eastAsia="仿宋" w:cs="仿宋"/>
          <w:sz w:val="32"/>
          <w:szCs w:val="32"/>
          <w:u w:val="none"/>
        </w:rPr>
        <w:t>2021年度招收开放教育本、专科专业共33个，同比增加10个。其中，本科14个，占比42.42%；专科19个，占比57.58%。2021年度招收职业教育（</w:t>
      </w:r>
      <w:r>
        <w:rPr>
          <w:rFonts w:hint="eastAsia" w:ascii="仿宋" w:hAnsi="仿宋" w:eastAsia="仿宋" w:cs="仿宋"/>
          <w:sz w:val="32"/>
          <w:szCs w:val="32"/>
          <w:u w:val="none"/>
          <w:lang w:val="en-US" w:eastAsia="zh-CN"/>
        </w:rPr>
        <w:t>高职</w:t>
      </w:r>
      <w:r>
        <w:rPr>
          <w:rFonts w:hint="eastAsia" w:ascii="仿宋" w:hAnsi="仿宋" w:eastAsia="仿宋" w:cs="仿宋"/>
          <w:sz w:val="32"/>
          <w:szCs w:val="32"/>
          <w:u w:val="none"/>
        </w:rPr>
        <w:t>扩招）专业共2个。</w:t>
      </w:r>
    </w:p>
    <w:p>
      <w:pPr>
        <w:pStyle w:val="2"/>
        <w:keepNext w:val="0"/>
        <w:keepLines w:val="0"/>
        <w:pageBreakBefore w:val="0"/>
        <w:kinsoku/>
        <w:wordWrap/>
        <w:overflowPunct/>
        <w:topLinePunct w:val="0"/>
        <w:autoSpaceDE/>
        <w:autoSpaceDN/>
        <w:bidi w:val="0"/>
        <w:spacing w:after="0" w:line="50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表2-3-1</w:t>
      </w:r>
      <w:r>
        <w:rPr>
          <w:rFonts w:hint="eastAsia" w:ascii="仿宋" w:hAnsi="仿宋" w:eastAsia="仿宋" w:cs="仿宋"/>
          <w:sz w:val="28"/>
          <w:szCs w:val="28"/>
          <w:u w:val="none"/>
        </w:rPr>
        <w:t xml:space="preserve"> 2021</w:t>
      </w:r>
      <w:r>
        <w:rPr>
          <w:rFonts w:hint="eastAsia" w:ascii="仿宋" w:hAnsi="仿宋" w:eastAsia="仿宋" w:cs="仿宋"/>
          <w:kern w:val="0"/>
          <w:sz w:val="28"/>
          <w:szCs w:val="28"/>
          <w:u w:val="none"/>
        </w:rPr>
        <w:t>年</w:t>
      </w:r>
      <w:r>
        <w:rPr>
          <w:rFonts w:hint="eastAsia" w:ascii="仿宋" w:hAnsi="仿宋" w:eastAsia="仿宋" w:cs="仿宋"/>
          <w:kern w:val="0"/>
          <w:sz w:val="28"/>
          <w:szCs w:val="28"/>
          <w:u w:val="none"/>
          <w:lang w:eastAsia="zh-CN"/>
        </w:rPr>
        <w:t>度</w:t>
      </w:r>
      <w:r>
        <w:rPr>
          <w:rFonts w:hint="eastAsia" w:ascii="仿宋" w:hAnsi="仿宋" w:eastAsia="仿宋" w:cs="仿宋"/>
          <w:kern w:val="0"/>
          <w:sz w:val="28"/>
          <w:szCs w:val="28"/>
          <w:u w:val="none"/>
        </w:rPr>
        <w:t>开放教育招生规模排名前五位的本科专业</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行政管理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108</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法学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51</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土木工程</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38</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工商管理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汉语言文学</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19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5.51</w:t>
            </w:r>
          </w:p>
        </w:tc>
      </w:tr>
    </w:tbl>
    <w:p>
      <w:pPr>
        <w:pStyle w:val="2"/>
        <w:keepNext w:val="0"/>
        <w:keepLines w:val="0"/>
        <w:pageBreakBefore w:val="0"/>
        <w:kinsoku/>
        <w:wordWrap/>
        <w:overflowPunct/>
        <w:topLinePunct w:val="0"/>
        <w:autoSpaceDE/>
        <w:autoSpaceDN/>
        <w:bidi w:val="0"/>
        <w:spacing w:after="0" w:line="50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表2-3-2</w:t>
      </w:r>
      <w:r>
        <w:rPr>
          <w:rFonts w:hint="eastAsia" w:ascii="仿宋" w:hAnsi="仿宋" w:eastAsia="仿宋" w:cs="仿宋"/>
          <w:kern w:val="0"/>
          <w:sz w:val="28"/>
          <w:szCs w:val="28"/>
          <w:u w:val="none"/>
          <w:lang w:val="en-US" w:eastAsia="zh-CN"/>
        </w:rPr>
        <w:t xml:space="preserve"> </w:t>
      </w:r>
      <w:r>
        <w:rPr>
          <w:rFonts w:hint="eastAsia" w:ascii="仿宋" w:hAnsi="仿宋" w:eastAsia="仿宋" w:cs="仿宋"/>
          <w:sz w:val="28"/>
          <w:szCs w:val="28"/>
          <w:u w:val="none"/>
        </w:rPr>
        <w:t>2021</w:t>
      </w:r>
      <w:r>
        <w:rPr>
          <w:rFonts w:hint="eastAsia" w:ascii="仿宋" w:hAnsi="仿宋" w:eastAsia="仿宋" w:cs="仿宋"/>
          <w:kern w:val="0"/>
          <w:sz w:val="28"/>
          <w:szCs w:val="28"/>
          <w:u w:val="none"/>
        </w:rPr>
        <w:t>年</w:t>
      </w:r>
      <w:r>
        <w:rPr>
          <w:rFonts w:hint="eastAsia" w:ascii="仿宋" w:hAnsi="仿宋" w:eastAsia="仿宋" w:cs="仿宋"/>
          <w:kern w:val="0"/>
          <w:sz w:val="28"/>
          <w:szCs w:val="28"/>
          <w:u w:val="none"/>
          <w:lang w:eastAsia="zh-CN"/>
        </w:rPr>
        <w:t>度</w:t>
      </w:r>
      <w:r>
        <w:rPr>
          <w:rFonts w:hint="eastAsia" w:ascii="仿宋" w:hAnsi="仿宋" w:eastAsia="仿宋" w:cs="仿宋"/>
          <w:kern w:val="0"/>
          <w:sz w:val="28"/>
          <w:szCs w:val="28"/>
          <w:u w:val="none"/>
        </w:rPr>
        <w:t>开放教育招生规模排名前五位的专科专业</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工商企业管理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321</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27.20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行政管理（乡村管理方向）</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315</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26.69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行政管理</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168</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14.24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法律事务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107</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应用化工</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74</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6.27</w:t>
            </w:r>
          </w:p>
        </w:tc>
      </w:tr>
    </w:tbl>
    <w:p>
      <w:pPr>
        <w:pStyle w:val="2"/>
        <w:keepNext w:val="0"/>
        <w:keepLines w:val="0"/>
        <w:pageBreakBefore w:val="0"/>
        <w:kinsoku/>
        <w:wordWrap/>
        <w:overflowPunct/>
        <w:topLinePunct w:val="0"/>
        <w:autoSpaceDE/>
        <w:autoSpaceDN/>
        <w:bidi w:val="0"/>
        <w:spacing w:after="0" w:line="500" w:lineRule="exact"/>
        <w:jc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表2-3-3</w:t>
      </w:r>
      <w:r>
        <w:rPr>
          <w:rFonts w:hint="eastAsia" w:ascii="仿宋" w:hAnsi="仿宋" w:eastAsia="仿宋" w:cs="仿宋"/>
          <w:sz w:val="28"/>
          <w:szCs w:val="28"/>
          <w:u w:val="none"/>
        </w:rPr>
        <w:t xml:space="preserve"> 2021</w:t>
      </w:r>
      <w:r>
        <w:rPr>
          <w:rFonts w:hint="eastAsia" w:ascii="仿宋" w:hAnsi="仿宋" w:eastAsia="仿宋" w:cs="仿宋"/>
          <w:kern w:val="0"/>
          <w:sz w:val="28"/>
          <w:szCs w:val="28"/>
          <w:u w:val="none"/>
        </w:rPr>
        <w:t>年</w:t>
      </w:r>
      <w:r>
        <w:rPr>
          <w:rFonts w:hint="eastAsia" w:ascii="仿宋" w:hAnsi="仿宋" w:eastAsia="仿宋" w:cs="仿宋"/>
          <w:kern w:val="0"/>
          <w:sz w:val="28"/>
          <w:szCs w:val="28"/>
          <w:u w:val="none"/>
          <w:lang w:eastAsia="zh-CN"/>
        </w:rPr>
        <w:t>度</w:t>
      </w:r>
      <w:r>
        <w:rPr>
          <w:rFonts w:hint="eastAsia" w:ascii="仿宋" w:hAnsi="仿宋" w:eastAsia="仿宋" w:cs="仿宋"/>
          <w:kern w:val="0"/>
          <w:sz w:val="28"/>
          <w:szCs w:val="28"/>
          <w:u w:val="none"/>
        </w:rPr>
        <w:t>职业教育（</w:t>
      </w:r>
      <w:r>
        <w:rPr>
          <w:rFonts w:hint="eastAsia" w:ascii="仿宋" w:hAnsi="仿宋" w:eastAsia="仿宋" w:cs="仿宋"/>
          <w:kern w:val="0"/>
          <w:sz w:val="28"/>
          <w:szCs w:val="28"/>
          <w:u w:val="none"/>
          <w:lang w:val="en-US" w:eastAsia="zh-CN"/>
        </w:rPr>
        <w:t>高职</w:t>
      </w:r>
      <w:r>
        <w:rPr>
          <w:rFonts w:hint="eastAsia" w:ascii="仿宋" w:hAnsi="仿宋" w:eastAsia="仿宋" w:cs="仿宋"/>
          <w:kern w:val="0"/>
          <w:sz w:val="28"/>
          <w:szCs w:val="28"/>
          <w:u w:val="none"/>
        </w:rPr>
        <w:t>扩招）招收专业</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54"/>
        <w:gridCol w:w="3124"/>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专业名称</w:t>
            </w:r>
          </w:p>
        </w:tc>
        <w:tc>
          <w:tcPr>
            <w:tcW w:w="172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招生数（人）</w:t>
            </w:r>
          </w:p>
        </w:tc>
        <w:tc>
          <w:tcPr>
            <w:tcW w:w="13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大数据与会计</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91</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82.73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962"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园林技术</w:t>
            </w:r>
          </w:p>
        </w:tc>
        <w:tc>
          <w:tcPr>
            <w:tcW w:w="172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19</w:t>
            </w:r>
          </w:p>
        </w:tc>
        <w:tc>
          <w:tcPr>
            <w:tcW w:w="131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17.27</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outlineLvl w:val="1"/>
        <w:rPr>
          <w:rFonts w:ascii="楷体" w:hAnsi="楷体" w:eastAsia="楷体" w:cs="楷体"/>
          <w:sz w:val="32"/>
          <w:szCs w:val="32"/>
          <w:u w:val="none"/>
        </w:rPr>
      </w:pPr>
      <w:r>
        <w:rPr>
          <w:rFonts w:hint="eastAsia" w:ascii="楷体" w:hAnsi="楷体" w:eastAsia="楷体" w:cs="楷体"/>
          <w:sz w:val="32"/>
          <w:szCs w:val="32"/>
          <w:u w:val="none"/>
        </w:rPr>
        <w:t>（四）质量提升综治工程</w:t>
      </w:r>
    </w:p>
    <w:p>
      <w:pPr>
        <w:pStyle w:val="2"/>
        <w:keepNext w:val="0"/>
        <w:keepLines w:val="0"/>
        <w:pageBreakBefore w:val="0"/>
        <w:kinsoku/>
        <w:wordWrap/>
        <w:overflowPunct/>
        <w:topLinePunct w:val="0"/>
        <w:autoSpaceDE/>
        <w:autoSpaceDN/>
        <w:bidi w:val="0"/>
        <w:spacing w:after="0" w:line="500" w:lineRule="exact"/>
        <w:jc w:val="both"/>
        <w:outlineLvl w:val="2"/>
        <w:rPr>
          <w:rFonts w:hint="eastAsia" w:ascii="仿宋" w:hAnsi="仿宋" w:eastAsia="仿宋" w:cs="仿宋"/>
          <w:sz w:val="32"/>
          <w:szCs w:val="32"/>
          <w:u w:val="none"/>
        </w:rPr>
      </w:pPr>
      <w:r>
        <w:rPr>
          <w:rFonts w:hint="eastAsia"/>
          <w:u w:val="none"/>
        </w:rPr>
        <w:t xml:space="preserve">   </w:t>
      </w:r>
      <w:r>
        <w:rPr>
          <w:rFonts w:hint="eastAsia"/>
          <w:u w:val="none"/>
          <w:lang w:val="en-US" w:eastAsia="zh-CN"/>
        </w:rPr>
        <w:t xml:space="preserve">   </w:t>
      </w:r>
      <w:r>
        <w:rPr>
          <w:rFonts w:hint="eastAsia" w:ascii="仿宋" w:hAnsi="仿宋" w:eastAsia="仿宋" w:cs="仿宋"/>
          <w:sz w:val="32"/>
          <w:szCs w:val="32"/>
          <w:u w:val="none"/>
        </w:rPr>
        <w:t>1.质量保障制度</w:t>
      </w:r>
    </w:p>
    <w:p>
      <w:pPr>
        <w:keepNext w:val="0"/>
        <w:keepLines w:val="0"/>
        <w:pageBreakBefore w:val="0"/>
        <w:widowControl/>
        <w:kinsoku/>
        <w:wordWrap/>
        <w:overflowPunct/>
        <w:topLinePunct w:val="0"/>
        <w:autoSpaceDE/>
        <w:autoSpaceDN/>
        <w:bidi w:val="0"/>
        <w:spacing w:line="500" w:lineRule="exact"/>
        <w:ind w:firstLine="640" w:firstLineChars="200"/>
        <w:jc w:val="both"/>
        <w:rPr>
          <w:rFonts w:hint="eastAsia" w:ascii="仿宋" w:hAnsi="仿宋" w:eastAsia="仿宋" w:cs="仿宋"/>
          <w:sz w:val="32"/>
          <w:szCs w:val="32"/>
          <w:u w:val="none"/>
        </w:rPr>
      </w:pPr>
      <w:r>
        <w:rPr>
          <w:rFonts w:hint="eastAsia" w:ascii="仿宋" w:hAnsi="仿宋" w:eastAsia="仿宋" w:cs="仿宋"/>
          <w:sz w:val="32"/>
          <w:szCs w:val="32"/>
          <w:u w:val="none"/>
        </w:rPr>
        <w:t>2021年度建立健全校内质量管理制度5项。</w:t>
      </w:r>
    </w:p>
    <w:p>
      <w:pPr>
        <w:keepNext w:val="0"/>
        <w:keepLines w:val="0"/>
        <w:pageBreakBefore w:val="0"/>
        <w:widowControl/>
        <w:kinsoku/>
        <w:wordWrap/>
        <w:overflowPunct/>
        <w:topLinePunct w:val="0"/>
        <w:autoSpaceDE/>
        <w:autoSpaceDN/>
        <w:bidi w:val="0"/>
        <w:spacing w:line="500" w:lineRule="exact"/>
        <w:jc w:val="center"/>
        <w:rPr>
          <w:rFonts w:hint="eastAsia" w:ascii="仿宋" w:hAnsi="仿宋" w:eastAsia="仿宋" w:cs="仿宋"/>
          <w:sz w:val="28"/>
          <w:szCs w:val="28"/>
          <w:u w:val="none"/>
        </w:rPr>
      </w:pPr>
      <w:r>
        <w:rPr>
          <w:rFonts w:hint="eastAsia" w:ascii="仿宋" w:hAnsi="仿宋" w:eastAsia="仿宋" w:cs="仿宋"/>
          <w:sz w:val="28"/>
          <w:szCs w:val="28"/>
          <w:u w:val="none"/>
        </w:rPr>
        <w:t>表2-4-1 2021年度重要规章制度建设情况</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
        <w:gridCol w:w="1815"/>
        <w:gridCol w:w="6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序号</w:t>
            </w:r>
          </w:p>
        </w:tc>
        <w:tc>
          <w:tcPr>
            <w:tcW w:w="1002"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类别</w:t>
            </w:r>
          </w:p>
        </w:tc>
        <w:tc>
          <w:tcPr>
            <w:tcW w:w="348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人事管理</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教职工考勤制度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教务</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国家开放大学全国统一考试监考人员工作守则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教务</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国家开放大学全国统一考试考场纪律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4</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教务、安全</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期末考试疫情防控工作方案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1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5</w:t>
            </w:r>
          </w:p>
        </w:tc>
        <w:tc>
          <w:tcPr>
            <w:tcW w:w="1002"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教务、安全</w:t>
            </w:r>
          </w:p>
        </w:tc>
        <w:tc>
          <w:tcPr>
            <w:tcW w:w="3481"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期末考试突发事件应急预案</w:t>
            </w:r>
          </w:p>
        </w:tc>
      </w:tr>
    </w:tbl>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sz w:val="32"/>
          <w:szCs w:val="32"/>
          <w:u w:val="none"/>
        </w:rPr>
      </w:pPr>
      <w:r>
        <w:rPr>
          <w:rFonts w:hint="eastAsia" w:ascii="仿宋" w:hAnsi="仿宋" w:eastAsia="仿宋" w:cs="仿宋"/>
          <w:sz w:val="32"/>
          <w:szCs w:val="32"/>
          <w:u w:val="none"/>
        </w:rPr>
        <w:t>2.办学体系和招生管理</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鹰潭</w:t>
      </w:r>
      <w:r>
        <w:rPr>
          <w:rFonts w:hint="eastAsia" w:ascii="仿宋" w:hAnsi="仿宋" w:eastAsia="仿宋" w:cs="仿宋"/>
          <w:sz w:val="32"/>
          <w:szCs w:val="32"/>
          <w:u w:val="none"/>
        </w:rPr>
        <w:t>市共辖2个市辖区、1个县级市。截至2022年1月，</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校所辖县级机构覆盖1个县级市。所辖县级机构包含1个开放学院（1个已招生办学）。2021年度</w:t>
      </w:r>
      <w:r>
        <w:rPr>
          <w:rFonts w:hint="eastAsia" w:ascii="仿宋" w:hAnsi="仿宋" w:eastAsia="仿宋" w:cs="仿宋"/>
          <w:sz w:val="32"/>
          <w:szCs w:val="32"/>
          <w:u w:val="none"/>
          <w:lang w:eastAsia="zh-CN"/>
        </w:rPr>
        <w:t>无</w:t>
      </w:r>
      <w:r>
        <w:rPr>
          <w:rFonts w:hint="eastAsia" w:ascii="仿宋" w:hAnsi="仿宋" w:eastAsia="仿宋" w:cs="仿宋"/>
          <w:sz w:val="32"/>
          <w:szCs w:val="32"/>
          <w:u w:val="none"/>
        </w:rPr>
        <w:t>新增</w:t>
      </w:r>
      <w:r>
        <w:rPr>
          <w:rFonts w:hint="eastAsia" w:ascii="仿宋" w:hAnsi="仿宋" w:eastAsia="仿宋" w:cs="仿宋"/>
          <w:sz w:val="32"/>
          <w:szCs w:val="32"/>
          <w:u w:val="none"/>
          <w:lang w:eastAsia="zh-CN"/>
        </w:rPr>
        <w:t>、撤销</w:t>
      </w:r>
      <w:r>
        <w:rPr>
          <w:rFonts w:hint="eastAsia" w:ascii="仿宋" w:hAnsi="仿宋" w:eastAsia="仿宋" w:cs="仿宋"/>
          <w:sz w:val="32"/>
          <w:szCs w:val="32"/>
          <w:u w:val="none"/>
        </w:rPr>
        <w:t>学习中心。</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2021年度所辖县级机构共招收学生307人，占全市招生的18.78%。</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b/>
          <w:bCs/>
          <w:sz w:val="32"/>
          <w:szCs w:val="32"/>
          <w:u w:val="none"/>
          <w:lang w:eastAsia="zh-CN"/>
        </w:rPr>
      </w:pPr>
      <w:r>
        <w:rPr>
          <w:rFonts w:hint="eastAsia" w:ascii="仿宋" w:hAnsi="仿宋" w:eastAsia="仿宋" w:cs="仿宋"/>
          <w:sz w:val="32"/>
          <w:szCs w:val="32"/>
          <w:u w:val="none"/>
        </w:rPr>
        <w:t>县级机构管理工作主要体现在：</w:t>
      </w:r>
      <w:r>
        <w:rPr>
          <w:rFonts w:hint="eastAsia" w:ascii="仿宋" w:hAnsi="仿宋" w:eastAsia="仿宋" w:cs="仿宋"/>
          <w:bCs/>
          <w:sz w:val="32"/>
          <w:szCs w:val="32"/>
          <w:u w:val="none"/>
        </w:rPr>
        <w:t>加强对工作站招生工作的管理，要求工作站定期进行汇报和反馈，确保相关进程和环节能够与校本部达成一致，积极调动工作站的积极性，让工作站和校本部建立“以校本部宣传为主，联合工作站招生优势”的特色做法。</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招生管理工作主要体现在：校党组高度重视，重点监督，招生办合理细化，全面落实；合理结合新政策，开展宣传，提高整体覆盖率，强调质效；实现服务一体化，多措并举，教学服务多元化，合规流程。</w:t>
      </w:r>
    </w:p>
    <w:p>
      <w:pPr>
        <w:keepNext w:val="0"/>
        <w:keepLines w:val="0"/>
        <w:pageBreakBefore w:val="0"/>
        <w:widowControl/>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招生宣传符合规范，招生审核严格把控，2021年度学校招生工作无违规现象。</w:t>
      </w:r>
    </w:p>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sz w:val="32"/>
          <w:szCs w:val="32"/>
          <w:u w:val="none"/>
        </w:rPr>
      </w:pPr>
      <w:r>
        <w:rPr>
          <w:rFonts w:hint="eastAsia" w:ascii="仿宋" w:hAnsi="仿宋" w:eastAsia="仿宋" w:cs="仿宋"/>
          <w:sz w:val="32"/>
          <w:szCs w:val="32"/>
          <w:u w:val="none"/>
        </w:rPr>
        <w:t>3.信息化和教学资源建设</w:t>
      </w:r>
    </w:p>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color w:val="000000"/>
          <w:kern w:val="0"/>
          <w:sz w:val="32"/>
          <w:szCs w:val="32"/>
          <w:u w:val="none"/>
        </w:rPr>
      </w:pPr>
      <w:r>
        <w:rPr>
          <w:rFonts w:hint="eastAsia" w:ascii="仿宋" w:hAnsi="仿宋" w:eastAsia="仿宋" w:cs="仿宋"/>
          <w:color w:val="000000"/>
          <w:kern w:val="0"/>
          <w:sz w:val="32"/>
          <w:szCs w:val="32"/>
          <w:u w:val="none"/>
        </w:rPr>
        <w:t>为实现鹰潭</w:t>
      </w:r>
      <w:r>
        <w:rPr>
          <w:rFonts w:hint="eastAsia" w:ascii="仿宋" w:hAnsi="仿宋" w:eastAsia="仿宋" w:cs="仿宋"/>
          <w:bCs/>
          <w:color w:val="000000"/>
          <w:kern w:val="0"/>
          <w:sz w:val="32"/>
          <w:szCs w:val="32"/>
          <w:u w:val="none"/>
        </w:rPr>
        <w:t>开放大学教育研究</w:t>
      </w:r>
      <w:r>
        <w:rPr>
          <w:rFonts w:hint="eastAsia" w:ascii="仿宋" w:hAnsi="仿宋" w:eastAsia="仿宋" w:cs="仿宋"/>
          <w:color w:val="000000"/>
          <w:kern w:val="0"/>
          <w:sz w:val="32"/>
          <w:szCs w:val="32"/>
          <w:u w:val="none"/>
        </w:rPr>
        <w:t>项目管理的科学化、制度化和规范化，进一步促进</w:t>
      </w:r>
      <w:r>
        <w:rPr>
          <w:rFonts w:hint="eastAsia" w:ascii="仿宋" w:hAnsi="仿宋" w:eastAsia="仿宋" w:cs="仿宋"/>
          <w:color w:val="000000"/>
          <w:kern w:val="0"/>
          <w:sz w:val="32"/>
          <w:szCs w:val="32"/>
          <w:u w:val="none"/>
          <w:lang w:val="en-US" w:eastAsia="zh-CN"/>
        </w:rPr>
        <w:t>学</w:t>
      </w:r>
      <w:r>
        <w:rPr>
          <w:rFonts w:hint="eastAsia" w:ascii="仿宋" w:hAnsi="仿宋" w:eastAsia="仿宋" w:cs="仿宋"/>
          <w:color w:val="000000"/>
          <w:kern w:val="0"/>
          <w:sz w:val="32"/>
          <w:szCs w:val="32"/>
          <w:u w:val="none"/>
        </w:rPr>
        <w:t>校开放教育事业的繁荣和发展，多出优秀成果，多出优秀人才，特制定《鹰潭开放大学教育研究项目管理办法》《鹰潭开放大学科研成果奖励办法》</w:t>
      </w:r>
      <w:r>
        <w:rPr>
          <w:rFonts w:hint="eastAsia" w:ascii="仿宋" w:hAnsi="仿宋" w:eastAsia="仿宋" w:cs="仿宋"/>
          <w:color w:val="000000"/>
          <w:kern w:val="0"/>
          <w:sz w:val="32"/>
          <w:szCs w:val="32"/>
          <w:u w:val="none"/>
          <w:lang w:eastAsia="zh-CN"/>
        </w:rPr>
        <w:t>，</w:t>
      </w:r>
      <w:r>
        <w:rPr>
          <w:rFonts w:hint="eastAsia" w:ascii="仿宋" w:hAnsi="仿宋" w:eastAsia="仿宋" w:cs="仿宋"/>
          <w:color w:val="000000"/>
          <w:kern w:val="0"/>
          <w:sz w:val="32"/>
          <w:szCs w:val="32"/>
          <w:u w:val="none"/>
        </w:rPr>
        <w:t>不仅针对</w:t>
      </w:r>
      <w:r>
        <w:rPr>
          <w:rFonts w:hint="eastAsia" w:ascii="仿宋" w:hAnsi="仿宋" w:eastAsia="仿宋" w:cs="仿宋"/>
          <w:color w:val="000000"/>
          <w:kern w:val="0"/>
          <w:sz w:val="32"/>
          <w:szCs w:val="32"/>
          <w:u w:val="none"/>
          <w:lang w:val="en-US" w:eastAsia="zh-CN"/>
        </w:rPr>
        <w:t>本校</w:t>
      </w:r>
      <w:r>
        <w:rPr>
          <w:rFonts w:hint="eastAsia" w:ascii="仿宋" w:hAnsi="仿宋" w:eastAsia="仿宋" w:cs="仿宋"/>
          <w:color w:val="000000"/>
          <w:kern w:val="0"/>
          <w:sz w:val="32"/>
          <w:szCs w:val="32"/>
          <w:u w:val="none"/>
        </w:rPr>
        <w:t>教职工，对外聘教师在鹰潭开放大学教育事业中取得的成果和贡献也进行同样的补助和奖励。</w:t>
      </w:r>
    </w:p>
    <w:p>
      <w:pPr>
        <w:keepNext w:val="0"/>
        <w:keepLines w:val="0"/>
        <w:pageBreakBefore w:val="0"/>
        <w:kinsoku/>
        <w:wordWrap/>
        <w:overflowPunct/>
        <w:topLinePunct w:val="0"/>
        <w:autoSpaceDE/>
        <w:autoSpaceDN/>
        <w:bidi w:val="0"/>
        <w:spacing w:line="500" w:lineRule="exact"/>
        <w:ind w:firstLine="640" w:firstLineChars="200"/>
        <w:outlineLvl w:val="2"/>
        <w:rPr>
          <w:rFonts w:hint="eastAsia" w:ascii="仿宋" w:hAnsi="仿宋" w:eastAsia="仿宋" w:cs="仿宋"/>
          <w:sz w:val="32"/>
          <w:szCs w:val="32"/>
          <w:u w:val="none"/>
        </w:rPr>
      </w:pPr>
      <w:r>
        <w:rPr>
          <w:rFonts w:hint="eastAsia" w:ascii="仿宋" w:hAnsi="仿宋" w:eastAsia="仿宋" w:cs="仿宋"/>
          <w:sz w:val="32"/>
          <w:szCs w:val="32"/>
          <w:u w:val="none"/>
        </w:rPr>
        <w:t>4.学习支持服务和教学过程</w:t>
      </w:r>
    </w:p>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表2-4-4-1 2021年度国开学习网教学基本情况</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3"/>
        <w:gridCol w:w="1711"/>
        <w:gridCol w:w="1622"/>
        <w:gridCol w:w="1479"/>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学期</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生师比</w:t>
            </w: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上线学生比例</w:t>
            </w: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上线教师比例</w:t>
            </w: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春季</w:t>
            </w:r>
          </w:p>
        </w:tc>
        <w:tc>
          <w:tcPr>
            <w:tcW w:w="94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9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146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排名</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秋季</w:t>
            </w:r>
          </w:p>
        </w:tc>
        <w:tc>
          <w:tcPr>
            <w:tcW w:w="944"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95"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1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146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87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排名</w:t>
            </w:r>
          </w:p>
        </w:tc>
        <w:tc>
          <w:tcPr>
            <w:tcW w:w="94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9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1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146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bl>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p>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p>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p>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p>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2"/>
          <w:sz w:val="28"/>
          <w:szCs w:val="28"/>
          <w:u w:val="none"/>
          <w:lang w:val="en-US" w:eastAsia="zh-CN" w:bidi="ar-SA"/>
        </w:rPr>
      </w:pPr>
      <w:r>
        <w:rPr>
          <w:rFonts w:hint="eastAsia" w:ascii="仿宋" w:hAnsi="仿宋" w:eastAsia="仿宋" w:cs="仿宋"/>
          <w:kern w:val="2"/>
          <w:sz w:val="28"/>
          <w:szCs w:val="28"/>
          <w:u w:val="none"/>
          <w:lang w:val="en-US" w:eastAsia="zh-CN" w:bidi="ar-SA"/>
        </w:rPr>
        <w:t>2-4-4-2 2021年度国开学习网教学支持服务情况</w:t>
      </w:r>
    </w:p>
    <w:tbl>
      <w:tblPr>
        <w:tblStyle w:val="8"/>
        <w:tblW w:w="4997" w:type="pct"/>
        <w:jc w:val="center"/>
        <w:tblLayout w:type="autofit"/>
        <w:tblCellMar>
          <w:top w:w="0" w:type="dxa"/>
          <w:left w:w="0" w:type="dxa"/>
          <w:bottom w:w="0" w:type="dxa"/>
          <w:right w:w="0" w:type="dxa"/>
        </w:tblCellMar>
      </w:tblPr>
      <w:tblGrid>
        <w:gridCol w:w="1329"/>
        <w:gridCol w:w="1301"/>
        <w:gridCol w:w="1175"/>
        <w:gridCol w:w="1223"/>
        <w:gridCol w:w="1235"/>
        <w:gridCol w:w="1104"/>
        <w:gridCol w:w="1503"/>
      </w:tblGrid>
      <w:tr>
        <w:tblPrEx>
          <w:tblCellMar>
            <w:top w:w="0" w:type="dxa"/>
            <w:left w:w="0" w:type="dxa"/>
            <w:bottom w:w="0" w:type="dxa"/>
            <w:right w:w="0" w:type="dxa"/>
          </w:tblCellMar>
        </w:tblPrEx>
        <w:trPr>
          <w:trHeight w:val="340" w:hRule="atLeas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学期</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学生行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为总数</w:t>
            </w: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学生在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线天数</w:t>
            </w: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学生人均在线行为次数</w:t>
            </w: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教师行</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为总数</w:t>
            </w: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教师在</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线天数</w:t>
            </w: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教师人均在线行为次数</w:t>
            </w: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春季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秋季</w:t>
            </w:r>
          </w:p>
        </w:tc>
        <w:tc>
          <w:tcPr>
            <w:tcW w:w="733"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4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r>
        <w:tblPrEx>
          <w:tblCellMar>
            <w:top w:w="0" w:type="dxa"/>
            <w:left w:w="0" w:type="dxa"/>
            <w:bottom w:w="0" w:type="dxa"/>
            <w:right w:w="0" w:type="dxa"/>
          </w:tblCellMar>
        </w:tblPrEx>
        <w:trPr>
          <w:trHeight w:val="340" w:hRule="exact"/>
          <w:jc w:val="center"/>
        </w:trPr>
        <w:tc>
          <w:tcPr>
            <w:tcW w:w="74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排名</w:t>
            </w:r>
          </w:p>
        </w:tc>
        <w:tc>
          <w:tcPr>
            <w:tcW w:w="733"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6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89"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9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622"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84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r>
    </w:tbl>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0"/>
          <w:sz w:val="28"/>
          <w:szCs w:val="28"/>
          <w:highlight w:val="none"/>
          <w:u w:val="none"/>
        </w:rPr>
      </w:pPr>
      <w:r>
        <w:rPr>
          <w:rFonts w:hint="eastAsia" w:ascii="仿宋" w:hAnsi="仿宋" w:eastAsia="仿宋" w:cs="仿宋"/>
          <w:kern w:val="0"/>
          <w:sz w:val="28"/>
          <w:szCs w:val="28"/>
          <w:highlight w:val="none"/>
          <w:u w:val="none"/>
        </w:rPr>
        <w:t>表2-4-4-3</w:t>
      </w:r>
      <w:r>
        <w:rPr>
          <w:rFonts w:hint="eastAsia" w:ascii="仿宋" w:hAnsi="仿宋" w:eastAsia="仿宋" w:cs="仿宋"/>
          <w:sz w:val="28"/>
          <w:szCs w:val="28"/>
          <w:highlight w:val="none"/>
          <w:u w:val="none"/>
        </w:rPr>
        <w:t xml:space="preserve"> 2021</w:t>
      </w:r>
      <w:r>
        <w:rPr>
          <w:rFonts w:hint="eastAsia" w:ascii="仿宋" w:hAnsi="仿宋" w:eastAsia="仿宋" w:cs="仿宋"/>
          <w:kern w:val="0"/>
          <w:sz w:val="28"/>
          <w:szCs w:val="28"/>
          <w:highlight w:val="none"/>
          <w:u w:val="none"/>
        </w:rPr>
        <w:t>年度开放教育面授教学基本情况</w:t>
      </w:r>
    </w:p>
    <w:tbl>
      <w:tblPr>
        <w:tblStyle w:val="9"/>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3206"/>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学期</w:t>
            </w:r>
          </w:p>
        </w:tc>
        <w:tc>
          <w:tcPr>
            <w:tcW w:w="176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面授辅导课次</w:t>
            </w:r>
          </w:p>
        </w:tc>
        <w:tc>
          <w:tcPr>
            <w:tcW w:w="221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学生平均到课率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春季</w:t>
            </w:r>
          </w:p>
        </w:tc>
        <w:tc>
          <w:tcPr>
            <w:tcW w:w="1769"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221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17"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秋季</w:t>
            </w:r>
          </w:p>
        </w:tc>
        <w:tc>
          <w:tcPr>
            <w:tcW w:w="1769"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221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70%</w:t>
            </w:r>
          </w:p>
        </w:tc>
      </w:tr>
    </w:tbl>
    <w:p>
      <w:pPr>
        <w:pStyle w:val="12"/>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center"/>
        <w:rPr>
          <w:rFonts w:hint="eastAsia" w:ascii="仿宋" w:hAnsi="仿宋" w:eastAsia="仿宋" w:cs="仿宋"/>
          <w:kern w:val="0"/>
          <w:sz w:val="28"/>
          <w:szCs w:val="28"/>
          <w:u w:val="none"/>
        </w:rPr>
      </w:pPr>
      <w:r>
        <w:rPr>
          <w:rFonts w:hint="eastAsia" w:ascii="仿宋" w:hAnsi="仿宋" w:eastAsia="仿宋" w:cs="仿宋"/>
          <w:kern w:val="0"/>
          <w:sz w:val="28"/>
          <w:szCs w:val="28"/>
          <w:u w:val="none"/>
        </w:rPr>
        <w:t>表2-4-4-4</w:t>
      </w:r>
      <w:r>
        <w:rPr>
          <w:rFonts w:hint="eastAsia" w:ascii="仿宋" w:hAnsi="仿宋" w:eastAsia="仿宋" w:cs="仿宋"/>
          <w:sz w:val="28"/>
          <w:szCs w:val="28"/>
          <w:u w:val="none"/>
        </w:rPr>
        <w:t xml:space="preserve"> 2021</w:t>
      </w:r>
      <w:r>
        <w:rPr>
          <w:rFonts w:hint="eastAsia" w:ascii="仿宋" w:hAnsi="仿宋" w:eastAsia="仿宋" w:cs="仿宋"/>
          <w:kern w:val="0"/>
          <w:sz w:val="28"/>
          <w:szCs w:val="28"/>
          <w:u w:val="none"/>
        </w:rPr>
        <w:t>年度开放教育实践教学情况</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9"/>
        <w:gridCol w:w="2657"/>
        <w:gridCol w:w="2564"/>
        <w:gridCol w:w="25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学期</w:t>
            </w:r>
          </w:p>
        </w:tc>
        <w:tc>
          <w:tcPr>
            <w:tcW w:w="146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实践基地新增数量</w:t>
            </w:r>
          </w:p>
        </w:tc>
        <w:tc>
          <w:tcPr>
            <w:tcW w:w="1415"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实践基地总数</w:t>
            </w:r>
          </w:p>
        </w:tc>
        <w:tc>
          <w:tcPr>
            <w:tcW w:w="143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春季</w:t>
            </w:r>
          </w:p>
        </w:tc>
        <w:tc>
          <w:tcPr>
            <w:tcW w:w="146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0</w:t>
            </w:r>
          </w:p>
        </w:tc>
        <w:tc>
          <w:tcPr>
            <w:tcW w:w="1415"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c>
          <w:tcPr>
            <w:tcW w:w="143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4"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秋季</w:t>
            </w:r>
          </w:p>
        </w:tc>
        <w:tc>
          <w:tcPr>
            <w:tcW w:w="1466"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0</w:t>
            </w:r>
          </w:p>
        </w:tc>
        <w:tc>
          <w:tcPr>
            <w:tcW w:w="1415"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c>
          <w:tcPr>
            <w:tcW w:w="1433" w:type="pct"/>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r>
    </w:tbl>
    <w:p>
      <w:pPr>
        <w:keepNext w:val="0"/>
        <w:keepLines w:val="0"/>
        <w:pageBreakBefore w:val="0"/>
        <w:kinsoku/>
        <w:wordWrap/>
        <w:overflowPunct/>
        <w:topLinePunct w:val="0"/>
        <w:autoSpaceDE/>
        <w:autoSpaceDN/>
        <w:bidi w:val="0"/>
        <w:spacing w:line="500" w:lineRule="exact"/>
        <w:ind w:firstLine="640" w:firstLineChars="200"/>
        <w:jc w:val="both"/>
        <w:outlineLvl w:val="2"/>
        <w:rPr>
          <w:rFonts w:hint="eastAsia" w:ascii="仿宋" w:hAnsi="仿宋" w:eastAsia="仿宋" w:cs="仿宋"/>
          <w:sz w:val="32"/>
          <w:szCs w:val="32"/>
          <w:u w:val="none"/>
        </w:rPr>
      </w:pPr>
      <w:r>
        <w:rPr>
          <w:rFonts w:hint="eastAsia" w:ascii="仿宋" w:hAnsi="仿宋" w:eastAsia="仿宋" w:cs="仿宋"/>
          <w:sz w:val="32"/>
          <w:szCs w:val="32"/>
          <w:u w:val="none"/>
        </w:rPr>
        <w:t>5.考试组织情况</w:t>
      </w:r>
    </w:p>
    <w:p>
      <w:pPr>
        <w:pStyle w:val="2"/>
        <w:keepNext w:val="0"/>
        <w:keepLines w:val="0"/>
        <w:pageBreakBefore w:val="0"/>
        <w:kinsoku/>
        <w:wordWrap/>
        <w:overflowPunct/>
        <w:topLinePunct w:val="0"/>
        <w:autoSpaceDE/>
        <w:autoSpaceDN/>
        <w:bidi w:val="0"/>
        <w:spacing w:after="0" w:line="500" w:lineRule="exact"/>
        <w:ind w:firstLine="640" w:firstLineChars="200"/>
        <w:jc w:val="both"/>
        <w:rPr>
          <w:rFonts w:hint="eastAsia" w:ascii="仿宋" w:hAnsi="仿宋" w:eastAsia="仿宋" w:cs="仿宋"/>
          <w:sz w:val="32"/>
          <w:szCs w:val="32"/>
          <w:u w:val="none"/>
        </w:rPr>
      </w:pPr>
      <w:r>
        <w:rPr>
          <w:rFonts w:hint="eastAsia" w:ascii="仿宋" w:hAnsi="仿宋" w:eastAsia="仿宋" w:cs="仿宋"/>
          <w:kern w:val="0"/>
          <w:sz w:val="32"/>
          <w:szCs w:val="32"/>
          <w:u w:val="none"/>
        </w:rPr>
        <w:t>根据国家开放大学和省校的统一部署，落实“治考”要求，进一步强化责任意识、规范意识、风险意识，规范考试工作情况，学校出台了《</w:t>
      </w:r>
      <w:r>
        <w:rPr>
          <w:rFonts w:hint="eastAsia" w:ascii="仿宋" w:hAnsi="仿宋" w:eastAsia="仿宋" w:cs="仿宋"/>
          <w:sz w:val="32"/>
          <w:szCs w:val="32"/>
          <w:u w:val="none"/>
        </w:rPr>
        <w:t>国家开放大学全国统一考试监考人员工作守则</w:t>
      </w:r>
      <w:r>
        <w:rPr>
          <w:rFonts w:hint="eastAsia" w:ascii="仿宋" w:hAnsi="仿宋" w:eastAsia="仿宋" w:cs="仿宋"/>
          <w:kern w:val="0"/>
          <w:sz w:val="32"/>
          <w:szCs w:val="32"/>
          <w:u w:val="none"/>
        </w:rPr>
        <w:t>》《</w:t>
      </w:r>
      <w:r>
        <w:rPr>
          <w:rFonts w:hint="eastAsia" w:ascii="仿宋" w:hAnsi="仿宋" w:eastAsia="仿宋" w:cs="仿宋"/>
          <w:sz w:val="32"/>
          <w:szCs w:val="32"/>
          <w:u w:val="none"/>
        </w:rPr>
        <w:t>国家开放大学全国统一考试考场纪律</w:t>
      </w:r>
      <w:r>
        <w:rPr>
          <w:rFonts w:hint="eastAsia" w:ascii="仿宋" w:hAnsi="仿宋" w:eastAsia="仿宋" w:cs="仿宋"/>
          <w:kern w:val="0"/>
          <w:sz w:val="32"/>
          <w:szCs w:val="32"/>
          <w:u w:val="none"/>
        </w:rPr>
        <w:t>》《</w:t>
      </w:r>
      <w:r>
        <w:rPr>
          <w:rFonts w:hint="eastAsia" w:ascii="仿宋" w:hAnsi="仿宋" w:eastAsia="仿宋" w:cs="仿宋"/>
          <w:sz w:val="32"/>
          <w:szCs w:val="32"/>
          <w:u w:val="none"/>
        </w:rPr>
        <w:t>期末考试疫情防控工作方案</w:t>
      </w:r>
      <w:r>
        <w:rPr>
          <w:rFonts w:hint="eastAsia" w:ascii="仿宋" w:hAnsi="仿宋" w:eastAsia="仿宋" w:cs="仿宋"/>
          <w:kern w:val="0"/>
          <w:sz w:val="32"/>
          <w:szCs w:val="32"/>
          <w:u w:val="none"/>
        </w:rPr>
        <w:t>》《</w:t>
      </w:r>
      <w:r>
        <w:rPr>
          <w:rFonts w:hint="eastAsia" w:ascii="仿宋" w:hAnsi="仿宋" w:eastAsia="仿宋" w:cs="仿宋"/>
          <w:sz w:val="32"/>
          <w:szCs w:val="32"/>
          <w:u w:val="none"/>
        </w:rPr>
        <w:t>期末考试突发事件应急预案</w:t>
      </w:r>
      <w:r>
        <w:rPr>
          <w:rFonts w:hint="eastAsia" w:ascii="仿宋" w:hAnsi="仿宋" w:eastAsia="仿宋" w:cs="仿宋"/>
          <w:kern w:val="0"/>
          <w:sz w:val="32"/>
          <w:szCs w:val="32"/>
          <w:u w:val="none"/>
        </w:rPr>
        <w:t>》，明确试卷保管专人值守，确保达到从严治考。</w:t>
      </w:r>
    </w:p>
    <w:p>
      <w:pPr>
        <w:keepNext w:val="0"/>
        <w:keepLines w:val="0"/>
        <w:pageBreakBefore w:val="0"/>
        <w:widowControl/>
        <w:shd w:val="clear" w:color="auto"/>
        <w:kinsoku/>
        <w:wordWrap/>
        <w:overflowPunct/>
        <w:topLinePunct w:val="0"/>
        <w:autoSpaceDE/>
        <w:autoSpaceDN/>
        <w:bidi w:val="0"/>
        <w:adjustRightInd w:val="0"/>
        <w:snapToGrid w:val="0"/>
        <w:spacing w:line="500" w:lineRule="exact"/>
        <w:jc w:val="both"/>
        <w:textAlignment w:val="center"/>
        <w:rPr>
          <w:rFonts w:hint="eastAsia" w:ascii="仿宋" w:hAnsi="仿宋" w:eastAsia="仿宋" w:cs="仿宋"/>
          <w:sz w:val="32"/>
          <w:szCs w:val="32"/>
          <w:u w:val="none"/>
        </w:rPr>
      </w:pPr>
      <w:r>
        <w:rPr>
          <w:rFonts w:hint="eastAsia" w:ascii="仿宋" w:hAnsi="仿宋" w:eastAsia="仿宋" w:cs="仿宋"/>
          <w:sz w:val="32"/>
          <w:szCs w:val="32"/>
          <w:u w:val="none"/>
        </w:rPr>
        <w:t xml:space="preserve">    春季期末考试</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国开总部巡考人员一行四人莅临现场指导，国开巡考对</w:t>
      </w:r>
      <w:r>
        <w:rPr>
          <w:rFonts w:hint="eastAsia" w:ascii="仿宋" w:hAnsi="仿宋" w:eastAsia="仿宋" w:cs="仿宋"/>
          <w:sz w:val="32"/>
          <w:szCs w:val="32"/>
          <w:u w:val="none"/>
          <w:lang w:val="en-US" w:eastAsia="zh-CN"/>
        </w:rPr>
        <w:t>学校</w:t>
      </w:r>
      <w:r>
        <w:rPr>
          <w:rFonts w:hint="eastAsia" w:ascii="仿宋" w:hAnsi="仿宋" w:eastAsia="仿宋" w:cs="仿宋"/>
          <w:sz w:val="32"/>
          <w:szCs w:val="32"/>
          <w:u w:val="none"/>
        </w:rPr>
        <w:t>考试的组考工作进行了全面跟踪，从考场环境布置、试卷保密室试卷保管，到分发试卷、监考老师发卷、考场情况（替考情况、座位情况、手机管控、实考缺考情况）、考场回收试卷、监考老师装订试卷、交接试卷进行了全面检查、拍照、录影，从现场国开巡考人员反馈，巡考组对</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校的考试组考工作比较满意。</w:t>
      </w:r>
    </w:p>
    <w:p>
      <w:pPr>
        <w:pStyle w:val="2"/>
        <w:keepNext w:val="0"/>
        <w:keepLines w:val="0"/>
        <w:pageBreakBefore w:val="0"/>
        <w:kinsoku/>
        <w:wordWrap/>
        <w:overflowPunct/>
        <w:topLinePunct w:val="0"/>
        <w:autoSpaceDE/>
        <w:autoSpaceDN/>
        <w:bidi w:val="0"/>
        <w:spacing w:after="0" w:line="500" w:lineRule="exact"/>
        <w:jc w:val="both"/>
        <w:rPr>
          <w:rFonts w:hint="eastAsia" w:ascii="仿宋" w:hAnsi="仿宋" w:eastAsia="仿宋" w:cs="仿宋"/>
          <w:sz w:val="32"/>
          <w:szCs w:val="32"/>
          <w:u w:val="none"/>
        </w:rPr>
      </w:pPr>
      <w:r>
        <w:rPr>
          <w:rFonts w:hint="eastAsia" w:ascii="仿宋" w:hAnsi="仿宋" w:eastAsia="仿宋" w:cs="仿宋"/>
          <w:sz w:val="32"/>
          <w:szCs w:val="32"/>
          <w:u w:val="none"/>
        </w:rPr>
        <w:t xml:space="preserve">    秋季期末考试</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省校</w:t>
      </w:r>
      <w:r>
        <w:rPr>
          <w:rFonts w:hint="eastAsia" w:ascii="仿宋" w:hAnsi="仿宋" w:eastAsia="仿宋" w:cs="仿宋"/>
          <w:sz w:val="32"/>
          <w:szCs w:val="32"/>
          <w:u w:val="none"/>
        </w:rPr>
        <w:t>暗访组一行三人对</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考试组考工作进行了全面督查，从考场环境布置、试卷保密室试卷保管，到分发试卷、监考老师发卷、考场情况（替考情况、座位情况、手机管控、实考缺考情况）、考场回收试卷、监考老师装订试卷、交接试卷进行了</w:t>
      </w:r>
      <w:r>
        <w:rPr>
          <w:rFonts w:hint="eastAsia" w:ascii="仿宋" w:hAnsi="仿宋" w:eastAsia="仿宋" w:cs="仿宋"/>
          <w:sz w:val="32"/>
          <w:szCs w:val="32"/>
          <w:u w:val="none"/>
          <w:lang w:val="en-US" w:eastAsia="zh-CN"/>
        </w:rPr>
        <w:t>检</w:t>
      </w:r>
      <w:r>
        <w:rPr>
          <w:rFonts w:hint="eastAsia" w:ascii="仿宋" w:hAnsi="仿宋" w:eastAsia="仿宋" w:cs="仿宋"/>
          <w:sz w:val="32"/>
          <w:szCs w:val="32"/>
          <w:u w:val="none"/>
        </w:rPr>
        <w:t>查，对巡视的每个考场均用人脸识别设备对考生进行了人脸比对，未发现替考考生。</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ascii="仿宋" w:hAnsi="仿宋" w:eastAsia="仿宋" w:cs="仿宋"/>
          <w:kern w:val="0"/>
          <w:sz w:val="28"/>
          <w:szCs w:val="28"/>
          <w:u w:val="none"/>
        </w:rPr>
      </w:pPr>
      <w:r>
        <w:rPr>
          <w:rFonts w:hint="eastAsia" w:ascii="仿宋" w:hAnsi="仿宋" w:eastAsia="仿宋" w:cs="仿宋"/>
          <w:kern w:val="0"/>
          <w:sz w:val="28"/>
          <w:szCs w:val="28"/>
          <w:u w:val="none"/>
        </w:rPr>
        <w:t>表2-4-5</w:t>
      </w:r>
      <w:r>
        <w:rPr>
          <w:rFonts w:hint="eastAsia" w:ascii="仿宋" w:hAnsi="仿宋" w:eastAsia="仿宋"/>
          <w:sz w:val="28"/>
          <w:szCs w:val="28"/>
          <w:u w:val="none"/>
        </w:rPr>
        <w:t xml:space="preserve"> 2021</w:t>
      </w:r>
      <w:r>
        <w:rPr>
          <w:rFonts w:hint="eastAsia" w:ascii="仿宋" w:hAnsi="仿宋" w:eastAsia="仿宋" w:cs="仿宋"/>
          <w:kern w:val="0"/>
          <w:sz w:val="28"/>
          <w:szCs w:val="28"/>
          <w:u w:val="none"/>
        </w:rPr>
        <w:t>年度开放教育考试情况</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6"/>
        <w:gridCol w:w="1739"/>
        <w:gridCol w:w="1901"/>
        <w:gridCol w:w="1895"/>
        <w:gridCol w:w="1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学期</w:t>
            </w:r>
          </w:p>
        </w:tc>
        <w:tc>
          <w:tcPr>
            <w:tcW w:w="960"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实考人数</w:t>
            </w:r>
          </w:p>
        </w:tc>
        <w:tc>
          <w:tcPr>
            <w:tcW w:w="1049"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实考率</w:t>
            </w:r>
          </w:p>
        </w:tc>
        <w:tc>
          <w:tcPr>
            <w:tcW w:w="1046"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highlight w:val="none"/>
                <w:u w:val="none"/>
              </w:rPr>
            </w:pPr>
            <w:r>
              <w:rPr>
                <w:rFonts w:hint="eastAsia" w:ascii="仿宋" w:hAnsi="仿宋" w:eastAsia="仿宋" w:cs="仿宋"/>
                <w:sz w:val="28"/>
                <w:szCs w:val="28"/>
                <w:highlight w:val="none"/>
                <w:u w:val="none"/>
              </w:rPr>
              <w:t>合格人数</w:t>
            </w:r>
          </w:p>
        </w:tc>
        <w:tc>
          <w:tcPr>
            <w:tcW w:w="1041" w:type="pct"/>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highlight w:val="none"/>
                <w:u w:val="none"/>
              </w:rPr>
            </w:pPr>
            <w:r>
              <w:rPr>
                <w:rFonts w:hint="eastAsia" w:ascii="仿宋" w:hAnsi="仿宋" w:eastAsia="仿宋" w:cs="仿宋"/>
                <w:sz w:val="28"/>
                <w:szCs w:val="28"/>
                <w:highlight w:val="none"/>
                <w:u w:val="none"/>
              </w:rPr>
              <w:t>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春季</w:t>
            </w:r>
          </w:p>
        </w:tc>
        <w:tc>
          <w:tcPr>
            <w:tcW w:w="96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3061</w:t>
            </w:r>
          </w:p>
        </w:tc>
        <w:tc>
          <w:tcPr>
            <w:tcW w:w="10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82%</w:t>
            </w:r>
          </w:p>
        </w:tc>
        <w:tc>
          <w:tcPr>
            <w:tcW w:w="10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10083</w:t>
            </w:r>
          </w:p>
        </w:tc>
        <w:tc>
          <w:tcPr>
            <w:tcW w:w="104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89.00%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903"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秋季</w:t>
            </w:r>
          </w:p>
        </w:tc>
        <w:tc>
          <w:tcPr>
            <w:tcW w:w="960"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2852</w:t>
            </w:r>
          </w:p>
        </w:tc>
        <w:tc>
          <w:tcPr>
            <w:tcW w:w="1049"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ascii="仿宋" w:hAnsi="仿宋" w:eastAsia="仿宋" w:cs="仿宋"/>
                <w:sz w:val="28"/>
                <w:szCs w:val="28"/>
                <w:u w:val="none"/>
              </w:rPr>
            </w:pPr>
            <w:r>
              <w:rPr>
                <w:rFonts w:hint="eastAsia" w:ascii="仿宋" w:hAnsi="仿宋" w:eastAsia="仿宋" w:cs="仿宋"/>
                <w:sz w:val="28"/>
                <w:szCs w:val="28"/>
                <w:u w:val="none"/>
              </w:rPr>
              <w:t>81.74%</w:t>
            </w:r>
          </w:p>
        </w:tc>
        <w:tc>
          <w:tcPr>
            <w:tcW w:w="1046"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11528</w:t>
            </w:r>
          </w:p>
        </w:tc>
        <w:tc>
          <w:tcPr>
            <w:tcW w:w="1041" w:type="pct"/>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92.42%</w:t>
            </w:r>
          </w:p>
        </w:tc>
      </w:tr>
    </w:tbl>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6.</w:t>
      </w:r>
      <w:r>
        <w:rPr>
          <w:rFonts w:hint="eastAsia" w:ascii="仿宋" w:hAnsi="仿宋" w:eastAsia="仿宋" w:cs="仿宋"/>
          <w:sz w:val="32"/>
          <w:szCs w:val="32"/>
          <w:u w:val="none"/>
        </w:rPr>
        <w:t>教学检查结果</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lang w:val="en-US" w:eastAsia="zh-CN"/>
        </w:rPr>
      </w:pPr>
      <w:r>
        <w:rPr>
          <w:rFonts w:hint="eastAsia" w:ascii="仿宋" w:hAnsi="仿宋" w:eastAsia="仿宋" w:cs="仿宋"/>
          <w:sz w:val="32"/>
          <w:szCs w:val="32"/>
          <w:u w:val="none"/>
        </w:rPr>
        <w:t>①</w:t>
      </w:r>
      <w:r>
        <w:rPr>
          <w:rFonts w:hint="eastAsia" w:ascii="仿宋" w:hAnsi="仿宋" w:eastAsia="仿宋" w:cs="仿宋"/>
          <w:sz w:val="32"/>
          <w:szCs w:val="32"/>
          <w:u w:val="none"/>
          <w:lang w:val="en-US" w:eastAsia="zh-CN"/>
        </w:rPr>
        <w:t>亮点：</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第一，高度重视迎检工作，对2020年发现的问题进行了认真有效的整改。如规范组织教学，加强教学管理，重视制度建设，发布了系列教学管理制度文件。</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第二，助推产教融合发展。开展校企合作，与企业联合会签订校企合作项目协议，建立了“学校、企业、员工”为一体的人才培养交流平台。</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第三，深入推进思想政治教育工作。由校领导班子成员和聘请的市委宣讲团成员对全校教师开展思想政治教育培训，切实推进学校教师队伍思想政治建设。</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lang w:val="en-US" w:eastAsia="zh-CN"/>
        </w:rPr>
      </w:pPr>
      <w:r>
        <w:rPr>
          <w:rFonts w:hint="eastAsia" w:ascii="仿宋" w:hAnsi="仿宋" w:eastAsia="仿宋" w:cs="仿宋"/>
          <w:sz w:val="32"/>
          <w:szCs w:val="32"/>
          <w:u w:val="none"/>
        </w:rPr>
        <w:t>②</w:t>
      </w:r>
      <w:r>
        <w:rPr>
          <w:rFonts w:hint="eastAsia" w:ascii="仿宋" w:hAnsi="仿宋" w:eastAsia="仿宋" w:cs="仿宋"/>
          <w:sz w:val="32"/>
          <w:szCs w:val="32"/>
          <w:u w:val="none"/>
          <w:lang w:val="en-US" w:eastAsia="zh-CN"/>
        </w:rPr>
        <w:t>建议：</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第一，提升教学支持服务能力。按时按量按质提交校本部及所辖学习中心课表，</w:t>
      </w:r>
      <w:r>
        <w:rPr>
          <w:rFonts w:hint="eastAsia" w:ascii="仿宋" w:hAnsi="仿宋" w:eastAsia="仿宋" w:cs="仿宋"/>
          <w:sz w:val="32"/>
          <w:szCs w:val="32"/>
          <w:u w:val="none"/>
        </w:rPr>
        <w:t>积极组织</w:t>
      </w:r>
      <w:r>
        <w:rPr>
          <w:rFonts w:hint="eastAsia" w:ascii="仿宋" w:hAnsi="仿宋" w:eastAsia="仿宋" w:cs="仿宋"/>
          <w:sz w:val="32"/>
          <w:szCs w:val="32"/>
          <w:u w:val="none"/>
          <w:lang w:val="en-US" w:eastAsia="zh-CN"/>
        </w:rPr>
        <w:t>好课堂</w:t>
      </w:r>
      <w:r>
        <w:rPr>
          <w:rFonts w:hint="eastAsia" w:ascii="仿宋" w:hAnsi="仿宋" w:eastAsia="仿宋" w:cs="仿宋"/>
          <w:sz w:val="32"/>
          <w:szCs w:val="32"/>
          <w:u w:val="none"/>
        </w:rPr>
        <w:t>教学活动</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精准分析“教师人均行为次数/天数”指标数值偏低的原因，集中智慧、寻求突破、齐抓共管。加强对班主任和任课教师的培训和指导，进一步落实教学过程，有效促进教学质量提升。</w:t>
      </w:r>
    </w:p>
    <w:p>
      <w:pPr>
        <w:keepNext w:val="0"/>
        <w:keepLines w:val="0"/>
        <w:pageBreakBefore w:val="0"/>
        <w:widowControl/>
        <w:shd w:val="clear" w:color="auto"/>
        <w:kinsoku/>
        <w:wordWrap/>
        <w:overflowPunct/>
        <w:topLinePunct w:val="0"/>
        <w:autoSpaceDE/>
        <w:autoSpaceDN/>
        <w:bidi w:val="0"/>
        <w:adjustRightInd w:val="0"/>
        <w:snapToGrid w:val="0"/>
        <w:spacing w:line="500" w:lineRule="exact"/>
        <w:ind w:firstLine="640" w:firstLineChars="200"/>
        <w:jc w:val="both"/>
        <w:textAlignment w:val="center"/>
        <w:rPr>
          <w:rFonts w:hint="eastAsia" w:ascii="仿宋" w:hAnsi="仿宋" w:eastAsia="仿宋" w:cs="仿宋"/>
          <w:sz w:val="32"/>
          <w:szCs w:val="32"/>
          <w:lang w:val="en-US" w:eastAsia="zh-CN"/>
        </w:rPr>
      </w:pPr>
      <w:r>
        <w:rPr>
          <w:rFonts w:hint="eastAsia" w:ascii="仿宋" w:hAnsi="仿宋" w:eastAsia="仿宋" w:cs="仿宋"/>
          <w:sz w:val="32"/>
          <w:szCs w:val="32"/>
          <w:u w:val="none"/>
          <w:lang w:val="en-US" w:eastAsia="zh-CN"/>
        </w:rPr>
        <w:t>第二，强化师资队伍建设。优化教师的学历结构和知识结构，组织开展专题培训讲座、教师技能大赛等系列活动，持续提升师资队伍服务教学的能力。</w:t>
      </w:r>
    </w:p>
    <w:p>
      <w:pPr>
        <w:keepNext w:val="0"/>
        <w:keepLines w:val="0"/>
        <w:pageBreakBefore w:val="0"/>
        <w:kinsoku/>
        <w:wordWrap/>
        <w:overflowPunct/>
        <w:topLinePunct w:val="0"/>
        <w:autoSpaceDE/>
        <w:autoSpaceDN/>
        <w:bidi w:val="0"/>
        <w:adjustRightInd w:val="0"/>
        <w:snapToGrid w:val="0"/>
        <w:spacing w:line="500" w:lineRule="exact"/>
        <w:ind w:firstLine="640" w:firstLineChars="200"/>
        <w:jc w:val="both"/>
        <w:outlineLvl w:val="1"/>
        <w:rPr>
          <w:rFonts w:ascii="楷体" w:hAnsi="楷体" w:eastAsia="楷体" w:cs="楷体"/>
          <w:sz w:val="32"/>
          <w:szCs w:val="32"/>
          <w:u w:val="none"/>
        </w:rPr>
      </w:pPr>
      <w:r>
        <w:rPr>
          <w:rFonts w:hint="eastAsia" w:ascii="楷体" w:hAnsi="楷体" w:eastAsia="楷体" w:cs="楷体"/>
          <w:sz w:val="32"/>
          <w:szCs w:val="32"/>
          <w:u w:val="none"/>
        </w:rPr>
        <w:t>（五）思政教育和学生工作</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ascii="仿宋" w:hAnsi="仿宋" w:eastAsia="仿宋"/>
          <w:sz w:val="32"/>
          <w:szCs w:val="32"/>
          <w:u w:val="none"/>
        </w:rPr>
        <w:t>深入落实</w:t>
      </w:r>
      <w:r>
        <w:rPr>
          <w:rFonts w:hint="default" w:ascii="仿宋" w:hAnsi="仿宋" w:eastAsia="仿宋"/>
          <w:sz w:val="32"/>
          <w:szCs w:val="32"/>
          <w:u w:val="none"/>
        </w:rPr>
        <w:t>“</w:t>
      </w:r>
      <w:r>
        <w:rPr>
          <w:rFonts w:ascii="仿宋" w:hAnsi="仿宋" w:eastAsia="仿宋"/>
          <w:sz w:val="32"/>
          <w:szCs w:val="32"/>
          <w:u w:val="none"/>
        </w:rPr>
        <w:t>立德树人</w:t>
      </w:r>
      <w:r>
        <w:rPr>
          <w:rFonts w:hint="default" w:ascii="仿宋" w:hAnsi="仿宋" w:eastAsia="仿宋"/>
          <w:sz w:val="32"/>
          <w:szCs w:val="32"/>
          <w:u w:val="none"/>
        </w:rPr>
        <w:t>”</w:t>
      </w:r>
      <w:r>
        <w:rPr>
          <w:rFonts w:ascii="仿宋" w:hAnsi="仿宋" w:eastAsia="仿宋"/>
          <w:sz w:val="32"/>
          <w:szCs w:val="32"/>
          <w:u w:val="none"/>
        </w:rPr>
        <w:t>根本任务，全面贯彻</w:t>
      </w:r>
      <w:r>
        <w:rPr>
          <w:rFonts w:hint="default" w:ascii="仿宋" w:hAnsi="仿宋" w:eastAsia="仿宋"/>
          <w:sz w:val="32"/>
          <w:szCs w:val="32"/>
          <w:u w:val="none"/>
        </w:rPr>
        <w:t>“</w:t>
      </w:r>
      <w:r>
        <w:rPr>
          <w:rFonts w:ascii="仿宋" w:hAnsi="仿宋" w:eastAsia="仿宋"/>
          <w:sz w:val="32"/>
          <w:szCs w:val="32"/>
          <w:u w:val="none"/>
        </w:rPr>
        <w:t>三全育人</w:t>
      </w:r>
      <w:r>
        <w:rPr>
          <w:rFonts w:hint="default" w:ascii="仿宋" w:hAnsi="仿宋" w:eastAsia="仿宋"/>
          <w:sz w:val="32"/>
          <w:szCs w:val="32"/>
          <w:u w:val="none"/>
        </w:rPr>
        <w:t>”</w:t>
      </w:r>
      <w:r>
        <w:rPr>
          <w:rFonts w:ascii="仿宋" w:hAnsi="仿宋" w:eastAsia="仿宋"/>
          <w:sz w:val="32"/>
          <w:szCs w:val="32"/>
          <w:u w:val="none"/>
        </w:rPr>
        <w:t>基本方略，将思想教育与学生工作放在核心位置，注重两者同步推进，切实把握</w:t>
      </w:r>
      <w:r>
        <w:rPr>
          <w:rFonts w:ascii="仿宋" w:hAnsi="仿宋" w:eastAsia="仿宋"/>
          <w:sz w:val="32"/>
          <w:szCs w:val="32"/>
          <w:u w:val="none"/>
          <w:lang w:val="zh-TW" w:eastAsia="zh-TW"/>
        </w:rPr>
        <w:t>各类学历与非学历教育</w:t>
      </w:r>
      <w:r>
        <w:rPr>
          <w:rFonts w:ascii="仿宋" w:hAnsi="仿宋" w:eastAsia="仿宋"/>
          <w:sz w:val="32"/>
          <w:szCs w:val="32"/>
          <w:u w:val="none"/>
        </w:rPr>
        <w:t>中</w:t>
      </w:r>
      <w:r>
        <w:rPr>
          <w:rFonts w:hint="default" w:ascii="仿宋" w:hAnsi="仿宋" w:eastAsia="仿宋"/>
          <w:sz w:val="32"/>
          <w:szCs w:val="32"/>
          <w:u w:val="none"/>
        </w:rPr>
        <w:t>“</w:t>
      </w:r>
      <w:r>
        <w:rPr>
          <w:rFonts w:ascii="仿宋" w:hAnsi="仿宋" w:eastAsia="仿宋"/>
          <w:sz w:val="32"/>
          <w:szCs w:val="32"/>
          <w:u w:val="none"/>
        </w:rPr>
        <w:t>思</w:t>
      </w:r>
      <w:r>
        <w:rPr>
          <w:rFonts w:ascii="仿宋" w:hAnsi="仿宋" w:eastAsia="仿宋"/>
          <w:sz w:val="32"/>
          <w:szCs w:val="32"/>
          <w:u w:val="none"/>
          <w:lang w:val="zh-TW" w:eastAsia="zh-TW"/>
        </w:rPr>
        <w:t>政课程</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与</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课程思政</w:t>
      </w:r>
      <w:r>
        <w:rPr>
          <w:rFonts w:hint="default" w:ascii="仿宋" w:hAnsi="仿宋" w:eastAsia="仿宋"/>
          <w:sz w:val="32"/>
          <w:szCs w:val="32"/>
          <w:u w:val="none"/>
          <w:lang w:val="en-US" w:eastAsia="zh-TW"/>
        </w:rPr>
        <w:t>”</w:t>
      </w:r>
      <w:r>
        <w:rPr>
          <w:rFonts w:ascii="仿宋" w:hAnsi="仿宋" w:eastAsia="仿宋"/>
          <w:sz w:val="32"/>
          <w:szCs w:val="32"/>
          <w:u w:val="none"/>
        </w:rPr>
        <w:t>中的相关情况，形成思政学习的良好氛围，切实提高学生对于</w:t>
      </w:r>
      <w:r>
        <w:rPr>
          <w:rFonts w:hint="eastAsia" w:ascii="仿宋" w:hAnsi="仿宋" w:eastAsia="仿宋"/>
          <w:sz w:val="32"/>
          <w:szCs w:val="32"/>
          <w:u w:val="none"/>
          <w:lang w:val="en-US" w:eastAsia="zh-CN"/>
        </w:rPr>
        <w:t>学</w:t>
      </w:r>
      <w:r>
        <w:rPr>
          <w:rFonts w:ascii="仿宋" w:hAnsi="仿宋" w:eastAsia="仿宋"/>
          <w:sz w:val="32"/>
          <w:szCs w:val="32"/>
          <w:u w:val="none"/>
        </w:rPr>
        <w:t>校的归属感和认可度。</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hint="eastAsia" w:ascii="仿宋" w:hAnsi="仿宋" w:eastAsia="仿宋"/>
          <w:sz w:val="32"/>
          <w:szCs w:val="32"/>
          <w:u w:val="none"/>
          <w:lang w:val="en-US" w:eastAsia="zh-CN"/>
        </w:rPr>
        <w:t>1.</w:t>
      </w:r>
      <w:r>
        <w:rPr>
          <w:rFonts w:ascii="仿宋" w:hAnsi="仿宋" w:eastAsia="仿宋"/>
          <w:sz w:val="32"/>
          <w:szCs w:val="32"/>
          <w:u w:val="none"/>
        </w:rPr>
        <w:t>紧紧把握思政教育学习主线，校长主持开讲思想课堂。始终强调思政教育的重要性和必要性，在</w:t>
      </w:r>
      <w:r>
        <w:rPr>
          <w:rFonts w:ascii="仿宋" w:hAnsi="仿宋" w:eastAsia="仿宋"/>
          <w:sz w:val="32"/>
          <w:szCs w:val="32"/>
          <w:u w:val="none"/>
          <w:lang w:val="zh-TW" w:eastAsia="zh-TW"/>
        </w:rPr>
        <w:t>开学典礼</w:t>
      </w:r>
      <w:r>
        <w:rPr>
          <w:rFonts w:ascii="仿宋" w:hAnsi="仿宋" w:eastAsia="仿宋"/>
          <w:sz w:val="32"/>
          <w:szCs w:val="32"/>
          <w:u w:val="none"/>
        </w:rPr>
        <w:t>上，</w:t>
      </w:r>
      <w:r>
        <w:rPr>
          <w:rFonts w:ascii="仿宋" w:hAnsi="仿宋" w:eastAsia="仿宋"/>
          <w:sz w:val="32"/>
          <w:szCs w:val="32"/>
          <w:u w:val="none"/>
          <w:lang w:val="zh-TW" w:eastAsia="zh-TW"/>
        </w:rPr>
        <w:t>校长刘正良同志亲自主持引导，</w:t>
      </w:r>
      <w:r>
        <w:rPr>
          <w:rFonts w:ascii="仿宋" w:hAnsi="仿宋" w:eastAsia="仿宋"/>
          <w:sz w:val="32"/>
          <w:szCs w:val="32"/>
          <w:u w:val="none"/>
        </w:rPr>
        <w:t>组织开展</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思政教育第一课</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教育</w:t>
      </w:r>
      <w:r>
        <w:rPr>
          <w:rFonts w:ascii="仿宋" w:hAnsi="仿宋" w:eastAsia="仿宋"/>
          <w:sz w:val="32"/>
          <w:szCs w:val="32"/>
          <w:u w:val="none"/>
        </w:rPr>
        <w:t>课堂，为学</w:t>
      </w:r>
      <w:r>
        <w:rPr>
          <w:rFonts w:hint="eastAsia" w:ascii="仿宋" w:hAnsi="仿宋" w:eastAsia="仿宋"/>
          <w:sz w:val="32"/>
          <w:szCs w:val="32"/>
          <w:u w:val="none"/>
          <w:lang w:val="en-US" w:eastAsia="zh-CN"/>
        </w:rPr>
        <w:t>员</w:t>
      </w:r>
      <w:r>
        <w:rPr>
          <w:rFonts w:ascii="仿宋" w:hAnsi="仿宋" w:eastAsia="仿宋"/>
          <w:sz w:val="32"/>
          <w:szCs w:val="32"/>
          <w:u w:val="none"/>
        </w:rPr>
        <w:t>上第一堂思政课，让学生在思政课堂中领会党的思想精髓、国际发展形势以及未来方针路线，实现学历提升和思想提升双向拓展。</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ascii="仿宋" w:hAnsi="仿宋" w:eastAsia="仿宋"/>
          <w:sz w:val="32"/>
          <w:szCs w:val="32"/>
          <w:u w:val="none"/>
        </w:rPr>
        <w:t>学生日常思政学习活动如常开展，党史学习活动依然占据主体地位。学校组织开展了</w:t>
      </w:r>
      <w:r>
        <w:rPr>
          <w:rFonts w:ascii="仿宋" w:hAnsi="仿宋" w:eastAsia="仿宋"/>
          <w:sz w:val="32"/>
          <w:szCs w:val="32"/>
          <w:u w:val="none"/>
          <w:lang w:val="zh-TW" w:eastAsia="zh-TW"/>
        </w:rPr>
        <w:t>党史学习教育青年大联学</w:t>
      </w:r>
      <w:r>
        <w:rPr>
          <w:rFonts w:ascii="仿宋" w:hAnsi="仿宋" w:eastAsia="仿宋"/>
          <w:sz w:val="32"/>
          <w:szCs w:val="32"/>
          <w:u w:val="none"/>
        </w:rPr>
        <w:t>、</w:t>
      </w:r>
      <w:r>
        <w:rPr>
          <w:rFonts w:ascii="仿宋" w:hAnsi="仿宋" w:eastAsia="仿宋"/>
          <w:sz w:val="32"/>
          <w:szCs w:val="32"/>
          <w:u w:val="none"/>
          <w:lang w:val="zh-TW" w:eastAsia="zh-TW"/>
        </w:rPr>
        <w:t>同上</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四史</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思政大课</w:t>
      </w:r>
      <w:r>
        <w:rPr>
          <w:rFonts w:ascii="仿宋" w:hAnsi="仿宋" w:eastAsia="仿宋"/>
          <w:sz w:val="32"/>
          <w:szCs w:val="32"/>
          <w:u w:val="none"/>
        </w:rPr>
        <w:t>、</w:t>
      </w:r>
      <w:r>
        <w:rPr>
          <w:rFonts w:ascii="仿宋" w:hAnsi="仿宋" w:eastAsia="仿宋"/>
          <w:sz w:val="32"/>
          <w:szCs w:val="32"/>
          <w:u w:val="none"/>
          <w:lang w:val="zh-TW" w:eastAsia="zh-TW"/>
        </w:rPr>
        <w:t>赣鄱学子心向党</w:t>
      </w:r>
      <w:r>
        <w:rPr>
          <w:rFonts w:ascii="仿宋" w:hAnsi="仿宋" w:eastAsia="仿宋"/>
          <w:sz w:val="32"/>
          <w:szCs w:val="32"/>
          <w:u w:val="none"/>
        </w:rPr>
        <w:t>、</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点亮4.15共同维护国家安全</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融媒体宣传周</w:t>
      </w:r>
      <w:r>
        <w:rPr>
          <w:rFonts w:ascii="仿宋" w:hAnsi="仿宋" w:eastAsia="仿宋"/>
          <w:sz w:val="32"/>
          <w:szCs w:val="32"/>
          <w:u w:val="none"/>
        </w:rPr>
        <w:t>活动，从历史学习、思想领会、信仰坚守、国家安全等多个角度来完善思政教育学习体系，真正做到</w:t>
      </w:r>
      <w:r>
        <w:rPr>
          <w:rFonts w:hint="default" w:ascii="仿宋" w:hAnsi="仿宋" w:eastAsia="仿宋"/>
          <w:sz w:val="32"/>
          <w:szCs w:val="32"/>
          <w:u w:val="none"/>
        </w:rPr>
        <w:t>“</w:t>
      </w:r>
      <w:r>
        <w:rPr>
          <w:rFonts w:ascii="仿宋" w:hAnsi="仿宋" w:eastAsia="仿宋"/>
          <w:sz w:val="32"/>
          <w:szCs w:val="32"/>
          <w:u w:val="none"/>
        </w:rPr>
        <w:t>以史为鉴，思想先行</w:t>
      </w:r>
      <w:r>
        <w:rPr>
          <w:rFonts w:hint="default" w:ascii="仿宋" w:hAnsi="仿宋" w:eastAsia="仿宋"/>
          <w:sz w:val="32"/>
          <w:szCs w:val="32"/>
          <w:u w:val="none"/>
        </w:rPr>
        <w:t>”</w:t>
      </w:r>
      <w:r>
        <w:rPr>
          <w:rFonts w:ascii="仿宋" w:hAnsi="仿宋" w:eastAsia="仿宋"/>
          <w:sz w:val="32"/>
          <w:szCs w:val="32"/>
          <w:u w:val="none"/>
        </w:rPr>
        <w:t>。</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hint="eastAsia" w:ascii="仿宋" w:hAnsi="仿宋" w:eastAsia="仿宋"/>
          <w:sz w:val="32"/>
          <w:szCs w:val="32"/>
          <w:u w:val="none"/>
          <w:lang w:val="en-US" w:eastAsia="zh-CN"/>
        </w:rPr>
        <w:t>2.</w:t>
      </w:r>
      <w:r>
        <w:rPr>
          <w:rFonts w:ascii="仿宋" w:hAnsi="仿宋" w:eastAsia="仿宋"/>
          <w:sz w:val="32"/>
          <w:szCs w:val="32"/>
          <w:u w:val="none"/>
        </w:rPr>
        <w:t>营造良好思想培训学习氛围，打造思政教学师资队伍。为切实营造良好的思政学习环境，提高全体教职员工对于思政学习和学生服务的整体意识和教学能力，专门聘请</w:t>
      </w:r>
      <w:r>
        <w:rPr>
          <w:rFonts w:ascii="仿宋" w:hAnsi="仿宋" w:eastAsia="仿宋"/>
          <w:sz w:val="32"/>
          <w:szCs w:val="32"/>
          <w:u w:val="none"/>
          <w:lang w:val="zh-TW" w:eastAsia="zh-TW"/>
        </w:rPr>
        <w:t>市委宣讲团成员到</w:t>
      </w:r>
      <w:r>
        <w:rPr>
          <w:rFonts w:hint="eastAsia" w:ascii="仿宋" w:hAnsi="仿宋" w:eastAsia="仿宋"/>
          <w:sz w:val="32"/>
          <w:szCs w:val="32"/>
          <w:u w:val="none"/>
          <w:lang w:val="en-US" w:eastAsia="zh-CN"/>
        </w:rPr>
        <w:t>学校</w:t>
      </w:r>
      <w:r>
        <w:rPr>
          <w:rFonts w:ascii="仿宋" w:hAnsi="仿宋" w:eastAsia="仿宋"/>
          <w:sz w:val="32"/>
          <w:szCs w:val="32"/>
          <w:u w:val="none"/>
        </w:rPr>
        <w:t>开展</w:t>
      </w:r>
      <w:r>
        <w:rPr>
          <w:rFonts w:ascii="仿宋" w:hAnsi="仿宋" w:eastAsia="仿宋"/>
          <w:sz w:val="32"/>
          <w:szCs w:val="32"/>
          <w:u w:val="none"/>
          <w:lang w:val="zh-TW" w:eastAsia="zh-TW"/>
        </w:rPr>
        <w:t>思政课教师培训</w:t>
      </w:r>
      <w:r>
        <w:rPr>
          <w:rFonts w:ascii="仿宋" w:hAnsi="仿宋" w:eastAsia="仿宋"/>
          <w:sz w:val="32"/>
          <w:szCs w:val="32"/>
          <w:u w:val="none"/>
        </w:rPr>
        <w:t>，从思政课堂教学理念、内容、方案等方面进行传授，将</w:t>
      </w:r>
      <w:r>
        <w:rPr>
          <w:rFonts w:ascii="仿宋" w:hAnsi="仿宋" w:eastAsia="仿宋"/>
          <w:sz w:val="32"/>
          <w:szCs w:val="32"/>
          <w:u w:val="none"/>
          <w:lang w:val="zh-TW" w:eastAsia="zh-TW"/>
        </w:rPr>
        <w:t>立德树人</w:t>
      </w:r>
      <w:r>
        <w:rPr>
          <w:rFonts w:ascii="仿宋" w:hAnsi="仿宋" w:eastAsia="仿宋"/>
          <w:sz w:val="32"/>
          <w:szCs w:val="32"/>
          <w:u w:val="none"/>
        </w:rPr>
        <w:t>视为</w:t>
      </w:r>
      <w:r>
        <w:rPr>
          <w:rFonts w:ascii="仿宋" w:hAnsi="仿宋" w:eastAsia="仿宋"/>
          <w:sz w:val="32"/>
          <w:szCs w:val="32"/>
          <w:u w:val="none"/>
          <w:lang w:val="zh-TW" w:eastAsia="zh-TW"/>
        </w:rPr>
        <w:t>根本任务</w:t>
      </w:r>
      <w:r>
        <w:rPr>
          <w:rFonts w:ascii="仿宋" w:hAnsi="仿宋" w:eastAsia="仿宋"/>
          <w:sz w:val="32"/>
          <w:szCs w:val="32"/>
          <w:u w:val="none"/>
        </w:rPr>
        <w:t>，强化教职员工的责任感，力争</w:t>
      </w:r>
      <w:r>
        <w:rPr>
          <w:rFonts w:hint="eastAsia" w:ascii="仿宋" w:hAnsi="仿宋" w:eastAsia="仿宋"/>
          <w:sz w:val="32"/>
          <w:szCs w:val="32"/>
          <w:u w:val="none"/>
          <w:lang w:val="en-US" w:eastAsia="zh-CN"/>
        </w:rPr>
        <w:t>做</w:t>
      </w:r>
      <w:r>
        <w:rPr>
          <w:rFonts w:ascii="仿宋" w:hAnsi="仿宋" w:eastAsia="仿宋"/>
          <w:sz w:val="32"/>
          <w:szCs w:val="32"/>
          <w:u w:val="none"/>
        </w:rPr>
        <w:t>每一位学生的方向牌和引路人。</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ascii="仿宋" w:hAnsi="仿宋" w:eastAsia="仿宋"/>
          <w:sz w:val="32"/>
          <w:szCs w:val="32"/>
          <w:u w:val="none"/>
        </w:rPr>
        <w:t>与此同时，定期举办思想学习及汇报会议，由校长亲自主持，由全体教职员工就近期思想学习心得进行分享和交流，向前辈党员请教，一对一进行问询，解决思想疑惑，夯实思想站位，促进全体教职员工在日常工作中能够学以致用，尤其是思政老师能够在课堂中做到以德服人，以理育人，打造一支思想先进、作风优良、能力出众的思政教师队伍。</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hint="eastAsia" w:ascii="仿宋" w:hAnsi="仿宋" w:eastAsia="仿宋"/>
          <w:sz w:val="32"/>
          <w:szCs w:val="32"/>
          <w:u w:val="none"/>
          <w:lang w:val="en-US" w:eastAsia="zh-CN"/>
        </w:rPr>
        <w:t>3.</w:t>
      </w:r>
      <w:r>
        <w:rPr>
          <w:rFonts w:ascii="仿宋" w:hAnsi="仿宋" w:eastAsia="仿宋"/>
          <w:sz w:val="32"/>
          <w:szCs w:val="32"/>
          <w:u w:val="none"/>
        </w:rPr>
        <w:t>全面构建学生服务多元维度，推荐优秀学生屡获殊荣。积极响应省市党史学习教育活动，多次组织开展红色经典普及教育系列活动，2021年</w:t>
      </w:r>
      <w:r>
        <w:rPr>
          <w:rFonts w:ascii="仿宋" w:hAnsi="仿宋" w:eastAsia="仿宋"/>
          <w:sz w:val="32"/>
          <w:szCs w:val="32"/>
          <w:u w:val="none"/>
          <w:lang w:val="zh-TW" w:eastAsia="zh-TW"/>
        </w:rPr>
        <w:t>开放教育公安辅警学员及教师</w:t>
      </w:r>
      <w:r>
        <w:rPr>
          <w:rFonts w:ascii="仿宋" w:hAnsi="仿宋" w:eastAsia="仿宋"/>
          <w:sz w:val="32"/>
          <w:szCs w:val="32"/>
          <w:u w:val="none"/>
        </w:rPr>
        <w:t>共同参与</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唱响红歌</w:t>
      </w:r>
      <w:r>
        <w:rPr>
          <w:rFonts w:hint="default" w:ascii="仿宋" w:hAnsi="仿宋" w:eastAsia="仿宋"/>
          <w:sz w:val="32"/>
          <w:szCs w:val="32"/>
          <w:u w:val="none"/>
          <w:lang w:val="en-US" w:eastAsia="zh-TW"/>
        </w:rPr>
        <w:t>”</w:t>
      </w:r>
      <w:r>
        <w:rPr>
          <w:rFonts w:ascii="仿宋" w:hAnsi="仿宋" w:eastAsia="仿宋"/>
          <w:sz w:val="32"/>
          <w:szCs w:val="32"/>
          <w:u w:val="none"/>
          <w:lang w:val="zh-TW" w:eastAsia="zh-TW"/>
        </w:rPr>
        <w:t>活动</w:t>
      </w:r>
      <w:r>
        <w:rPr>
          <w:rFonts w:ascii="仿宋" w:hAnsi="仿宋" w:eastAsia="仿宋"/>
          <w:sz w:val="32"/>
          <w:szCs w:val="32"/>
          <w:u w:val="none"/>
        </w:rPr>
        <w:t>，荣获省校一等奖，为思政教育与学生服务进一步结合打下了坚实基础。</w:t>
      </w:r>
    </w:p>
    <w:p>
      <w:pPr>
        <w:pStyle w:val="13"/>
        <w:keepNext w:val="0"/>
        <w:keepLines w:val="0"/>
        <w:pageBreakBefore w:val="0"/>
        <w:kinsoku/>
        <w:wordWrap/>
        <w:overflowPunct/>
        <w:topLinePunct w:val="0"/>
        <w:autoSpaceDE/>
        <w:autoSpaceDN/>
        <w:bidi w:val="0"/>
        <w:spacing w:line="500" w:lineRule="exact"/>
        <w:ind w:firstLine="640" w:firstLineChars="200"/>
        <w:jc w:val="both"/>
        <w:rPr>
          <w:rFonts w:hint="default" w:ascii="仿宋" w:hAnsi="仿宋" w:eastAsia="仿宋" w:cs="冬青黑体简体中文 W3"/>
          <w:sz w:val="32"/>
          <w:szCs w:val="32"/>
          <w:u w:val="none"/>
        </w:rPr>
      </w:pPr>
      <w:r>
        <w:rPr>
          <w:rFonts w:ascii="仿宋" w:hAnsi="仿宋" w:eastAsia="仿宋"/>
          <w:sz w:val="32"/>
          <w:szCs w:val="32"/>
          <w:u w:val="none"/>
        </w:rPr>
        <w:t>另一方面，积极推选优秀学生参与相关荣誉活动，包括</w:t>
      </w:r>
      <w:r>
        <w:rPr>
          <w:rFonts w:ascii="仿宋" w:hAnsi="仿宋" w:eastAsia="仿宋"/>
          <w:sz w:val="32"/>
          <w:szCs w:val="32"/>
          <w:u w:val="none"/>
          <w:lang w:val="zh-TW" w:eastAsia="zh-TW"/>
        </w:rPr>
        <w:t>申报国家开放大学奖学金</w:t>
      </w:r>
      <w:r>
        <w:rPr>
          <w:rFonts w:ascii="仿宋" w:hAnsi="仿宋" w:eastAsia="仿宋"/>
          <w:sz w:val="32"/>
          <w:szCs w:val="32"/>
          <w:u w:val="none"/>
        </w:rPr>
        <w:t>、争取</w:t>
      </w:r>
      <w:r>
        <w:rPr>
          <w:rFonts w:ascii="仿宋" w:hAnsi="仿宋" w:eastAsia="仿宋"/>
          <w:sz w:val="32"/>
          <w:szCs w:val="32"/>
          <w:u w:val="none"/>
          <w:lang w:val="zh-TW" w:eastAsia="zh-TW"/>
        </w:rPr>
        <w:t>国家开放大学优秀毕业生</w:t>
      </w:r>
      <w:r>
        <w:rPr>
          <w:rFonts w:ascii="仿宋" w:hAnsi="仿宋" w:eastAsia="仿宋"/>
          <w:sz w:val="32"/>
          <w:szCs w:val="32"/>
          <w:u w:val="none"/>
        </w:rPr>
        <w:t>、</w:t>
      </w:r>
      <w:r>
        <w:rPr>
          <w:rFonts w:ascii="仿宋" w:hAnsi="仿宋" w:eastAsia="仿宋"/>
          <w:sz w:val="32"/>
          <w:szCs w:val="32"/>
          <w:u w:val="none"/>
          <w:lang w:val="zh-TW" w:eastAsia="zh-TW"/>
        </w:rPr>
        <w:t>开放教育、成人教育优秀学员</w:t>
      </w:r>
      <w:r>
        <w:rPr>
          <w:rFonts w:ascii="仿宋" w:hAnsi="仿宋" w:eastAsia="仿宋"/>
          <w:sz w:val="32"/>
          <w:szCs w:val="32"/>
          <w:u w:val="none"/>
        </w:rPr>
        <w:t>以及</w:t>
      </w:r>
      <w:r>
        <w:rPr>
          <w:rFonts w:ascii="仿宋" w:hAnsi="仿宋" w:eastAsia="仿宋"/>
          <w:sz w:val="32"/>
          <w:szCs w:val="32"/>
          <w:u w:val="none"/>
          <w:lang w:val="zh-TW" w:eastAsia="zh-TW"/>
        </w:rPr>
        <w:t>2021届</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一村一名大学生工程</w:t>
      </w:r>
      <w:r>
        <w:rPr>
          <w:rFonts w:hint="default" w:ascii="仿宋" w:hAnsi="仿宋" w:eastAsia="仿宋"/>
          <w:sz w:val="32"/>
          <w:szCs w:val="32"/>
          <w:u w:val="none"/>
          <w:lang w:val="zh-TW" w:eastAsia="zh-TW"/>
        </w:rPr>
        <w:t>”</w:t>
      </w:r>
      <w:r>
        <w:rPr>
          <w:rFonts w:ascii="仿宋" w:hAnsi="仿宋" w:eastAsia="仿宋"/>
          <w:sz w:val="32"/>
          <w:szCs w:val="32"/>
          <w:u w:val="none"/>
          <w:lang w:val="zh-TW" w:eastAsia="zh-TW"/>
        </w:rPr>
        <w:t>优秀毕业生</w:t>
      </w:r>
      <w:r>
        <w:rPr>
          <w:rFonts w:ascii="仿宋" w:hAnsi="仿宋" w:eastAsia="仿宋"/>
          <w:sz w:val="32"/>
          <w:szCs w:val="32"/>
          <w:u w:val="none"/>
        </w:rPr>
        <w:t>称号等，在</w:t>
      </w:r>
      <w:r>
        <w:rPr>
          <w:rFonts w:ascii="仿宋" w:hAnsi="仿宋" w:eastAsia="仿宋"/>
          <w:sz w:val="32"/>
          <w:szCs w:val="32"/>
          <w:u w:val="none"/>
          <w:lang w:val="zh-TW" w:eastAsia="zh-TW"/>
        </w:rPr>
        <w:t>推荐国家开放大学杰出校友</w:t>
      </w:r>
      <w:r>
        <w:rPr>
          <w:rFonts w:ascii="仿宋" w:hAnsi="仿宋" w:eastAsia="仿宋"/>
          <w:sz w:val="32"/>
          <w:szCs w:val="32"/>
          <w:u w:val="none"/>
        </w:rPr>
        <w:t>活动中，校友</w:t>
      </w:r>
      <w:r>
        <w:rPr>
          <w:rFonts w:ascii="仿宋" w:hAnsi="仿宋" w:eastAsia="仿宋"/>
          <w:sz w:val="32"/>
          <w:szCs w:val="32"/>
          <w:u w:val="none"/>
          <w:lang w:val="zh-TW" w:eastAsia="zh-TW"/>
        </w:rPr>
        <w:t>张仁圣</w:t>
      </w:r>
      <w:r>
        <w:rPr>
          <w:rFonts w:ascii="仿宋" w:hAnsi="仿宋" w:eastAsia="仿宋"/>
          <w:sz w:val="32"/>
          <w:szCs w:val="32"/>
          <w:u w:val="none"/>
        </w:rPr>
        <w:t>脱颖而出，成功</w:t>
      </w:r>
      <w:r>
        <w:rPr>
          <w:rFonts w:ascii="仿宋" w:hAnsi="仿宋" w:eastAsia="仿宋"/>
          <w:sz w:val="32"/>
          <w:szCs w:val="32"/>
          <w:u w:val="none"/>
          <w:lang w:val="zh-TW" w:eastAsia="zh-TW"/>
        </w:rPr>
        <w:t>评为国家开放大学杰出校友</w:t>
      </w:r>
      <w:r>
        <w:rPr>
          <w:rFonts w:ascii="仿宋" w:hAnsi="仿宋" w:eastAsia="仿宋"/>
          <w:sz w:val="32"/>
          <w:szCs w:val="32"/>
          <w:u w:val="none"/>
        </w:rPr>
        <w:t>，为校争光。</w:t>
      </w:r>
    </w:p>
    <w:tbl>
      <w:tblPr>
        <w:tblStyle w:val="8"/>
        <w:tblW w:w="4998" w:type="pct"/>
        <w:tblInd w:w="0" w:type="dxa"/>
        <w:tblLayout w:type="autofit"/>
        <w:tblCellMar>
          <w:top w:w="0" w:type="dxa"/>
          <w:left w:w="0" w:type="dxa"/>
          <w:bottom w:w="0" w:type="dxa"/>
          <w:right w:w="0" w:type="dxa"/>
        </w:tblCellMar>
      </w:tblPr>
      <w:tblGrid>
        <w:gridCol w:w="580"/>
        <w:gridCol w:w="865"/>
        <w:gridCol w:w="865"/>
        <w:gridCol w:w="865"/>
        <w:gridCol w:w="5682"/>
      </w:tblGrid>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序号</w:t>
            </w:r>
          </w:p>
        </w:tc>
        <w:tc>
          <w:tcPr>
            <w:tcW w:w="488"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姓名</w:t>
            </w:r>
          </w:p>
        </w:tc>
        <w:tc>
          <w:tcPr>
            <w:tcW w:w="488"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学历</w:t>
            </w:r>
          </w:p>
        </w:tc>
        <w:tc>
          <w:tcPr>
            <w:tcW w:w="488"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职称</w:t>
            </w:r>
          </w:p>
        </w:tc>
        <w:tc>
          <w:tcPr>
            <w:tcW w:w="3206" w:type="pct"/>
            <w:tcBorders>
              <w:top w:val="single" w:color="000000" w:sz="4" w:space="0"/>
              <w:left w:val="single" w:color="000000" w:sz="4" w:space="0"/>
              <w:bottom w:val="single" w:color="000000" w:sz="4" w:space="0"/>
              <w:right w:val="single" w:color="000000" w:sz="4" w:space="0"/>
            </w:tcBorders>
            <w:shd w:val="clear" w:color="auto" w:fill="F1F1F1" w:themeFill="background1" w:themeFillShade="F2"/>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任教专业</w:t>
            </w:r>
          </w:p>
        </w:tc>
      </w:tr>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1</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李建辉</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本科</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副教授</w:t>
            </w:r>
          </w:p>
        </w:tc>
        <w:tc>
          <w:tcPr>
            <w:tcW w:w="3206"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思想道德修养与法律基础</w:t>
            </w:r>
          </w:p>
        </w:tc>
      </w:tr>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2</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李卫民</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本科</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副教授</w:t>
            </w:r>
          </w:p>
        </w:tc>
        <w:tc>
          <w:tcPr>
            <w:tcW w:w="3206"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习近平新时代中国特色社会主义思想</w:t>
            </w:r>
          </w:p>
        </w:tc>
      </w:tr>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3</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陈琦伟</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研究生</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讲师</w:t>
            </w:r>
          </w:p>
        </w:tc>
        <w:tc>
          <w:tcPr>
            <w:tcW w:w="3206"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毛泽东思想和中国特色社会主义理论体系概论</w:t>
            </w:r>
          </w:p>
        </w:tc>
      </w:tr>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4</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刘娟</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本科</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副教授</w:t>
            </w:r>
          </w:p>
        </w:tc>
        <w:tc>
          <w:tcPr>
            <w:tcW w:w="3206"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毛泽东思想和中国特色社会主义理论体系概论</w:t>
            </w:r>
          </w:p>
        </w:tc>
      </w:tr>
      <w:tr>
        <w:tblPrEx>
          <w:tblCellMar>
            <w:top w:w="0" w:type="dxa"/>
            <w:left w:w="0" w:type="dxa"/>
            <w:bottom w:w="0" w:type="dxa"/>
            <w:right w:w="0" w:type="dxa"/>
          </w:tblCellMar>
        </w:tblPrEx>
        <w:trPr>
          <w:trHeight w:val="340" w:hRule="atLeast"/>
        </w:trPr>
        <w:tc>
          <w:tcPr>
            <w:tcW w:w="32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color w:val="000000"/>
                <w:sz w:val="28"/>
                <w:szCs w:val="28"/>
                <w:u w:val="none"/>
              </w:rPr>
            </w:pPr>
            <w:r>
              <w:rPr>
                <w:rFonts w:hint="eastAsia" w:ascii="仿宋" w:hAnsi="仿宋" w:eastAsia="仿宋" w:cs="仿宋"/>
                <w:color w:val="000000"/>
                <w:kern w:val="0"/>
                <w:sz w:val="28"/>
                <w:szCs w:val="28"/>
                <w:u w:val="none"/>
              </w:rPr>
              <w:t>5</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舒红</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本科</w:t>
            </w:r>
          </w:p>
        </w:tc>
        <w:tc>
          <w:tcPr>
            <w:tcW w:w="488"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讲师</w:t>
            </w:r>
          </w:p>
        </w:tc>
        <w:tc>
          <w:tcPr>
            <w:tcW w:w="3206" w:type="pct"/>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中国近现代史纲要</w:t>
            </w:r>
          </w:p>
        </w:tc>
      </w:tr>
    </w:tbl>
    <w:p>
      <w:pPr>
        <w:pStyle w:val="2"/>
        <w:keepNext w:val="0"/>
        <w:keepLines w:val="0"/>
        <w:pageBreakBefore w:val="0"/>
        <w:numPr>
          <w:ilvl w:val="0"/>
          <w:numId w:val="0"/>
        </w:numPr>
        <w:kinsoku/>
        <w:wordWrap/>
        <w:overflowPunct/>
        <w:topLinePunct w:val="0"/>
        <w:autoSpaceDE/>
        <w:autoSpaceDN/>
        <w:bidi w:val="0"/>
        <w:spacing w:after="0" w:line="500" w:lineRule="exact"/>
        <w:ind w:firstLine="640" w:firstLineChars="200"/>
        <w:outlineLvl w:val="0"/>
        <w:rPr>
          <w:rFonts w:ascii="黑体" w:hAnsi="黑体" w:eastAsia="黑体" w:cs="黑体"/>
          <w:sz w:val="32"/>
          <w:szCs w:val="32"/>
          <w:u w:val="none"/>
        </w:rPr>
      </w:pPr>
      <w:r>
        <w:rPr>
          <w:rFonts w:hint="eastAsia" w:ascii="黑体" w:hAnsi="黑体" w:eastAsia="黑体" w:cs="黑体"/>
          <w:sz w:val="32"/>
          <w:szCs w:val="32"/>
          <w:u w:val="none"/>
          <w:lang w:val="en-US" w:eastAsia="zh-CN"/>
        </w:rPr>
        <w:t>三、</w:t>
      </w:r>
      <w:r>
        <w:rPr>
          <w:rFonts w:hint="eastAsia" w:ascii="黑体" w:hAnsi="黑体" w:eastAsia="黑体" w:cs="黑体"/>
          <w:sz w:val="32"/>
          <w:szCs w:val="32"/>
          <w:u w:val="none"/>
        </w:rPr>
        <w:t>办学条件</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（一）办学场地与设施</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ascii="仿宋" w:hAnsi="仿宋" w:eastAsia="仿宋" w:cs="仿宋"/>
          <w:bCs/>
          <w:sz w:val="32"/>
          <w:szCs w:val="32"/>
          <w:u w:val="none"/>
        </w:rPr>
      </w:pPr>
      <w:r>
        <w:rPr>
          <w:rFonts w:hint="eastAsia" w:ascii="仿宋" w:hAnsi="仿宋" w:eastAsia="仿宋" w:cs="仿宋"/>
          <w:bCs/>
          <w:sz w:val="32"/>
          <w:szCs w:val="32"/>
          <w:u w:val="none"/>
        </w:rPr>
        <w:t>1.校本部</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鹰潭开放大学位于胜利东路93号和湖西路40号，被胜利东路分隔成南北楼。北楼占地面积3.4亩，建筑面积3068平方米，于1999年建成；南楼建筑面积2132平方米，于1992</w:t>
      </w:r>
      <w:r>
        <w:rPr>
          <w:rFonts w:hint="eastAsia" w:ascii="仿宋" w:hAnsi="仿宋" w:eastAsia="仿宋" w:cs="仿宋"/>
          <w:sz w:val="32"/>
          <w:szCs w:val="32"/>
          <w:u w:val="none"/>
          <w:lang w:val="en-US" w:eastAsia="zh-CN"/>
        </w:rPr>
        <w:t>年</w:t>
      </w:r>
      <w:r>
        <w:rPr>
          <w:rFonts w:hint="eastAsia" w:ascii="仿宋" w:hAnsi="仿宋" w:eastAsia="仿宋" w:cs="仿宋"/>
          <w:sz w:val="32"/>
          <w:szCs w:val="32"/>
          <w:u w:val="none"/>
        </w:rPr>
        <w:t>购买。</w:t>
      </w:r>
    </w:p>
    <w:p>
      <w:pPr>
        <w:pStyle w:val="2"/>
        <w:keepNext w:val="0"/>
        <w:keepLines w:val="0"/>
        <w:pageBreakBefore w:val="0"/>
        <w:kinsoku/>
        <w:wordWrap/>
        <w:overflowPunct/>
        <w:topLinePunct w:val="0"/>
        <w:autoSpaceDE/>
        <w:autoSpaceDN/>
        <w:bidi w:val="0"/>
        <w:spacing w:after="0" w:line="500" w:lineRule="exact"/>
        <w:ind w:firstLine="640" w:firstLineChars="200"/>
        <w:outlineLvl w:val="2"/>
        <w:rPr>
          <w:rFonts w:hint="eastAsia" w:ascii="仿宋" w:hAnsi="仿宋" w:eastAsia="仿宋" w:cs="仿宋"/>
          <w:kern w:val="0"/>
          <w:sz w:val="32"/>
          <w:szCs w:val="32"/>
          <w:u w:val="none"/>
        </w:rPr>
      </w:pPr>
      <w:r>
        <w:rPr>
          <w:rFonts w:hint="eastAsia" w:ascii="仿宋" w:hAnsi="仿宋" w:eastAsia="仿宋" w:cs="仿宋"/>
          <w:kern w:val="0"/>
          <w:sz w:val="32"/>
          <w:szCs w:val="32"/>
          <w:u w:val="none"/>
        </w:rPr>
        <w:t>2.校外实践基地</w:t>
      </w:r>
    </w:p>
    <w:p>
      <w:pPr>
        <w:pStyle w:val="2"/>
        <w:keepNext w:val="0"/>
        <w:keepLines w:val="0"/>
        <w:pageBreakBefore w:val="0"/>
        <w:kinsoku/>
        <w:wordWrap/>
        <w:overflowPunct/>
        <w:topLinePunct w:val="0"/>
        <w:autoSpaceDE/>
        <w:autoSpaceDN/>
        <w:bidi w:val="0"/>
        <w:spacing w:after="0" w:line="500" w:lineRule="exact"/>
        <w:rPr>
          <w:rFonts w:hint="eastAsia" w:ascii="仿宋" w:hAnsi="仿宋" w:eastAsia="仿宋" w:cs="仿宋"/>
          <w:kern w:val="0"/>
          <w:sz w:val="28"/>
          <w:szCs w:val="28"/>
          <w:u w:val="none"/>
        </w:rPr>
      </w:pPr>
      <w:r>
        <w:rPr>
          <w:rFonts w:hint="eastAsia" w:ascii="仿宋" w:hAnsi="仿宋" w:eastAsia="仿宋" w:cs="仿宋"/>
          <w:sz w:val="32"/>
          <w:szCs w:val="32"/>
          <w:u w:val="none"/>
        </w:rPr>
        <w:t xml:space="preserve">   </w:t>
      </w:r>
      <w:r>
        <w:rPr>
          <w:rFonts w:hint="eastAsia" w:ascii="仿宋" w:hAnsi="仿宋" w:eastAsia="仿宋" w:cs="仿宋"/>
          <w:sz w:val="32"/>
          <w:szCs w:val="32"/>
          <w:u w:val="none"/>
          <w:lang w:val="en-US" w:eastAsia="zh-CN"/>
        </w:rPr>
        <w:t xml:space="preserve"> 三个：</w:t>
      </w:r>
      <w:r>
        <w:rPr>
          <w:rFonts w:hint="eastAsia" w:ascii="仿宋" w:hAnsi="仿宋" w:eastAsia="仿宋" w:cs="仿宋"/>
          <w:sz w:val="32"/>
          <w:szCs w:val="32"/>
          <w:u w:val="none"/>
        </w:rPr>
        <w:t>鹰潭新知会计培训学校</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贵溪海利化工股份有限公司</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余江杨溪富昌水稻种植专业合作社</w:t>
      </w:r>
      <w:r>
        <w:rPr>
          <w:rFonts w:hint="eastAsia" w:ascii="仿宋" w:hAnsi="仿宋" w:eastAsia="仿宋" w:cs="仿宋"/>
          <w:sz w:val="32"/>
          <w:szCs w:val="32"/>
          <w:u w:val="none"/>
          <w:lang w:eastAsia="zh-CN"/>
        </w:rPr>
        <w:t>。</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sz w:val="28"/>
          <w:szCs w:val="28"/>
          <w:u w:val="none"/>
        </w:rPr>
      </w:pPr>
      <w:r>
        <w:rPr>
          <w:rFonts w:hint="eastAsia" w:ascii="仿宋" w:hAnsi="仿宋" w:eastAsia="仿宋" w:cs="仿宋"/>
          <w:kern w:val="0"/>
          <w:sz w:val="28"/>
          <w:szCs w:val="28"/>
          <w:u w:val="none"/>
        </w:rPr>
        <w:t>表3-1</w:t>
      </w:r>
      <w:r>
        <w:rPr>
          <w:rFonts w:hint="eastAsia" w:ascii="仿宋" w:hAnsi="仿宋" w:eastAsia="仿宋" w:cs="仿宋"/>
          <w:sz w:val="28"/>
          <w:szCs w:val="28"/>
          <w:u w:val="none"/>
        </w:rPr>
        <w:t xml:space="preserve"> </w:t>
      </w:r>
      <w:r>
        <w:rPr>
          <w:rFonts w:hint="eastAsia" w:ascii="仿宋" w:hAnsi="仿宋" w:eastAsia="仿宋" w:cs="仿宋"/>
          <w:sz w:val="28"/>
          <w:szCs w:val="28"/>
          <w:u w:val="none"/>
          <w:lang w:val="en-US" w:eastAsia="zh-CN"/>
        </w:rPr>
        <w:t>2021</w:t>
      </w:r>
      <w:r>
        <w:rPr>
          <w:rFonts w:hint="eastAsia" w:ascii="仿宋" w:hAnsi="仿宋" w:eastAsia="仿宋" w:cs="仿宋"/>
          <w:kern w:val="0"/>
          <w:sz w:val="28"/>
          <w:szCs w:val="28"/>
          <w:u w:val="none"/>
        </w:rPr>
        <w:t>年度办学场地与设施</w:t>
      </w:r>
    </w:p>
    <w:tbl>
      <w:tblPr>
        <w:tblStyle w:val="9"/>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1"/>
        <w:gridCol w:w="1182"/>
        <w:gridCol w:w="1135"/>
        <w:gridCol w:w="959"/>
        <w:gridCol w:w="959"/>
        <w:gridCol w:w="959"/>
        <w:gridCol w:w="959"/>
        <w:gridCol w:w="959"/>
        <w:gridCol w:w="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1"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p>
        </w:tc>
        <w:tc>
          <w:tcPr>
            <w:tcW w:w="65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办学场地面积（亩）</w:t>
            </w:r>
          </w:p>
        </w:tc>
        <w:tc>
          <w:tcPr>
            <w:tcW w:w="626"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办学用房面积（平方米）</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办学用房生均面积（平方米）</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能容纳30人的教室间数</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在籍生数与教室数比</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计算机台数</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在籍生数与计算机数比</w:t>
            </w:r>
          </w:p>
        </w:tc>
        <w:tc>
          <w:tcPr>
            <w:tcW w:w="53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1"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校本部</w:t>
            </w:r>
          </w:p>
        </w:tc>
        <w:tc>
          <w:tcPr>
            <w:tcW w:w="652"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3.4</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3068</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1.61</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16</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119:1</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96</w:t>
            </w:r>
          </w:p>
        </w:tc>
        <w:tc>
          <w:tcPr>
            <w:tcW w:w="529"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highlight w:val="none"/>
                <w:u w:val="none"/>
                <w:lang w:val="en-US" w:eastAsia="zh-CN"/>
              </w:rPr>
            </w:pPr>
            <w:r>
              <w:rPr>
                <w:rFonts w:hint="eastAsia" w:ascii="仿宋" w:hAnsi="仿宋" w:eastAsia="仿宋" w:cs="仿宋"/>
                <w:sz w:val="28"/>
                <w:szCs w:val="28"/>
                <w:highlight w:val="none"/>
                <w:u w:val="none"/>
                <w:lang w:val="en-US" w:eastAsia="zh-CN"/>
              </w:rPr>
              <w:t>19.83</w:t>
            </w:r>
          </w:p>
        </w:tc>
        <w:tc>
          <w:tcPr>
            <w:tcW w:w="530" w:type="pct"/>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highlight w:val="none"/>
                <w:u w:val="none"/>
              </w:rPr>
            </w:pPr>
            <w:r>
              <w:rPr>
                <w:rFonts w:hint="eastAsia" w:ascii="仿宋" w:hAnsi="仿宋" w:eastAsia="仿宋" w:cs="仿宋"/>
                <w:sz w:val="28"/>
                <w:szCs w:val="28"/>
                <w:highlight w:val="none"/>
                <w:u w:val="none"/>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1"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lang w:val="en-US" w:eastAsia="zh-CN"/>
              </w:rPr>
              <w:t>全省排名</w:t>
            </w:r>
          </w:p>
        </w:tc>
        <w:tc>
          <w:tcPr>
            <w:tcW w:w="652"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10</w:t>
            </w:r>
          </w:p>
        </w:tc>
        <w:tc>
          <w:tcPr>
            <w:tcW w:w="626"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10</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6</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10</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6</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11</w:t>
            </w:r>
          </w:p>
        </w:tc>
        <w:tc>
          <w:tcPr>
            <w:tcW w:w="529"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7</w:t>
            </w:r>
          </w:p>
        </w:tc>
        <w:tc>
          <w:tcPr>
            <w:tcW w:w="530" w:type="pct"/>
            <w:shd w:val="clear" w:color="auto" w:fill="F1F1F1" w:themeFill="background1" w:themeFillShade="F2"/>
            <w:vAlign w:val="center"/>
          </w:tcPr>
          <w:p>
            <w:pPr>
              <w:pStyle w:val="2"/>
              <w:keepNext w:val="0"/>
              <w:keepLines w:val="0"/>
              <w:pageBreakBefore w:val="0"/>
              <w:widowControl w:val="0"/>
              <w:kinsoku/>
              <w:wordWrap/>
              <w:overflowPunct/>
              <w:topLinePunct w:val="0"/>
              <w:autoSpaceDE/>
              <w:autoSpaceDN/>
              <w:bidi w:val="0"/>
              <w:adjustRightInd/>
              <w:snapToGrid/>
              <w:spacing w:after="0" w:line="320" w:lineRule="exact"/>
              <w:jc w:val="center"/>
              <w:textAlignment w:val="auto"/>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11</w:t>
            </w:r>
          </w:p>
        </w:tc>
      </w:tr>
    </w:tbl>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（二）师资队伍</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sz w:val="32"/>
          <w:szCs w:val="32"/>
          <w:u w:val="none"/>
        </w:rPr>
      </w:pPr>
      <w:r>
        <w:rPr>
          <w:rFonts w:hint="eastAsia" w:ascii="仿宋" w:hAnsi="仿宋" w:eastAsia="仿宋"/>
          <w:sz w:val="32"/>
          <w:szCs w:val="32"/>
          <w:u w:val="none"/>
        </w:rPr>
        <w:t>现有</w:t>
      </w:r>
      <w:r>
        <w:rPr>
          <w:rFonts w:hint="eastAsia" w:ascii="仿宋" w:hAnsi="仿宋" w:eastAsia="仿宋"/>
          <w:sz w:val="32"/>
          <w:szCs w:val="32"/>
          <w:u w:val="none"/>
          <w:lang w:val="en-US" w:eastAsia="zh-CN"/>
        </w:rPr>
        <w:t>33</w:t>
      </w:r>
      <w:r>
        <w:rPr>
          <w:rFonts w:hint="eastAsia" w:ascii="仿宋" w:hAnsi="仿宋" w:eastAsia="仿宋"/>
          <w:sz w:val="32"/>
          <w:szCs w:val="32"/>
          <w:u w:val="none"/>
        </w:rPr>
        <w:t>名教师，开放教育生师比为</w:t>
      </w:r>
      <w:r>
        <w:rPr>
          <w:rFonts w:hint="eastAsia" w:ascii="仿宋" w:hAnsi="仿宋" w:eastAsia="仿宋"/>
          <w:sz w:val="32"/>
          <w:szCs w:val="32"/>
          <w:u w:val="none"/>
          <w:lang w:val="en-US" w:eastAsia="zh-CN"/>
        </w:rPr>
        <w:t>67.36</w:t>
      </w:r>
      <w:r>
        <w:rPr>
          <w:rFonts w:hint="eastAsia" w:ascii="仿宋" w:hAnsi="仿宋" w:eastAsia="仿宋"/>
          <w:sz w:val="32"/>
          <w:szCs w:val="32"/>
          <w:u w:val="none"/>
        </w:rPr>
        <w:t>：1。其中，</w:t>
      </w:r>
      <w:r>
        <w:rPr>
          <w:rFonts w:hint="eastAsia" w:ascii="仿宋" w:hAnsi="仿宋" w:eastAsia="仿宋"/>
          <w:sz w:val="32"/>
          <w:szCs w:val="32"/>
          <w:u w:val="none"/>
          <w:lang w:val="en-US" w:eastAsia="zh-CN"/>
        </w:rPr>
        <w:t>23</w:t>
      </w:r>
      <w:r>
        <w:rPr>
          <w:rFonts w:hint="eastAsia" w:ascii="仿宋" w:hAnsi="仿宋" w:eastAsia="仿宋"/>
          <w:sz w:val="32"/>
          <w:szCs w:val="32"/>
          <w:u w:val="none"/>
        </w:rPr>
        <w:t>名专职教师（副高级以上职称教师4名，中级职称教师</w:t>
      </w:r>
      <w:r>
        <w:rPr>
          <w:rFonts w:hint="eastAsia" w:ascii="仿宋" w:hAnsi="仿宋" w:eastAsia="仿宋"/>
          <w:sz w:val="32"/>
          <w:szCs w:val="32"/>
          <w:u w:val="none"/>
          <w:lang w:val="en-US" w:eastAsia="zh-CN"/>
        </w:rPr>
        <w:t>7</w:t>
      </w:r>
      <w:r>
        <w:rPr>
          <w:rFonts w:hint="eastAsia" w:ascii="仿宋" w:hAnsi="仿宋" w:eastAsia="仿宋"/>
          <w:sz w:val="32"/>
          <w:szCs w:val="32"/>
          <w:u w:val="none"/>
        </w:rPr>
        <w:t>名，硕士研究生</w:t>
      </w:r>
      <w:r>
        <w:rPr>
          <w:rFonts w:hint="eastAsia" w:ascii="仿宋" w:hAnsi="仿宋" w:eastAsia="仿宋"/>
          <w:sz w:val="32"/>
          <w:szCs w:val="32"/>
          <w:u w:val="none"/>
          <w:lang w:val="en-US" w:eastAsia="zh-CN"/>
        </w:rPr>
        <w:t>2</w:t>
      </w:r>
      <w:r>
        <w:rPr>
          <w:rFonts w:hint="eastAsia" w:ascii="仿宋" w:hAnsi="仿宋" w:eastAsia="仿宋"/>
          <w:sz w:val="32"/>
          <w:szCs w:val="32"/>
          <w:u w:val="none"/>
        </w:rPr>
        <w:t>名）；聘任兼职教师1</w:t>
      </w:r>
      <w:r>
        <w:rPr>
          <w:rFonts w:hint="eastAsia" w:ascii="仿宋" w:hAnsi="仿宋" w:eastAsia="仿宋"/>
          <w:sz w:val="32"/>
          <w:szCs w:val="32"/>
          <w:u w:val="none"/>
          <w:lang w:val="en-US" w:eastAsia="zh-CN"/>
        </w:rPr>
        <w:t>0</w:t>
      </w:r>
      <w:r>
        <w:rPr>
          <w:rFonts w:hint="eastAsia" w:ascii="仿宋" w:hAnsi="仿宋" w:eastAsia="仿宋"/>
          <w:sz w:val="32"/>
          <w:szCs w:val="32"/>
          <w:u w:val="none"/>
        </w:rPr>
        <w:t>名。</w:t>
      </w:r>
    </w:p>
    <w:p>
      <w:pPr>
        <w:keepNext w:val="0"/>
        <w:keepLines w:val="0"/>
        <w:pageBreakBefore w:val="0"/>
        <w:kinsoku/>
        <w:wordWrap/>
        <w:overflowPunct/>
        <w:topLinePunct w:val="0"/>
        <w:autoSpaceDE/>
        <w:autoSpaceDN/>
        <w:bidi w:val="0"/>
        <w:spacing w:line="500" w:lineRule="exact"/>
        <w:ind w:firstLine="640" w:firstLineChars="200"/>
        <w:rPr>
          <w:rFonts w:ascii="仿宋" w:hAnsi="仿宋" w:eastAsia="仿宋" w:cs="仿宋"/>
          <w:sz w:val="32"/>
          <w:szCs w:val="32"/>
          <w:u w:val="none"/>
        </w:rPr>
      </w:pPr>
      <w:r>
        <w:rPr>
          <w:rFonts w:hint="eastAsia" w:ascii="仿宋" w:hAnsi="仿宋" w:eastAsia="仿宋"/>
          <w:sz w:val="32"/>
          <w:szCs w:val="32"/>
          <w:u w:val="none"/>
        </w:rPr>
        <w:t>教学团队建设情况。一是积极组织申报网络教学实施团队，累计申报了3名骨干教师参与省</w:t>
      </w:r>
      <w:r>
        <w:rPr>
          <w:rFonts w:hint="eastAsia" w:ascii="仿宋" w:hAnsi="仿宋" w:eastAsia="仿宋"/>
          <w:sz w:val="32"/>
          <w:szCs w:val="32"/>
          <w:u w:val="none"/>
          <w:lang w:eastAsia="zh-CN"/>
        </w:rPr>
        <w:t>校</w:t>
      </w:r>
      <w:r>
        <w:rPr>
          <w:rFonts w:hint="eastAsia" w:ascii="仿宋" w:hAnsi="仿宋" w:eastAsia="仿宋"/>
          <w:sz w:val="32"/>
          <w:szCs w:val="32"/>
          <w:u w:val="none"/>
        </w:rPr>
        <w:t>3个网络教学团队。二是建立思政教师队伍，狠抓队伍学习教育。把提高教师思想政治素质和职业道德水平摆在首要位置，以“政治学习”为抓手，建立以思政课教师队伍。推进学习教育常态化制度化，由校领导班子成员对全校教师开展思政课培训，聘请市委宣讲团成员进行思政课教师培训，把立德树人作为根本任务，强化使命担当，当好学生的引路人。把思想政治工作贯穿教育教学全过程，强化全方位全过程师德养成，切实推进学校思政教师队伍建设。</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rPr>
          <w:rFonts w:hint="eastAsia" w:ascii="仿宋" w:hAnsi="仿宋" w:eastAsia="仿宋" w:cs="仿宋"/>
          <w:sz w:val="28"/>
          <w:szCs w:val="28"/>
          <w:u w:val="none"/>
        </w:rPr>
      </w:pPr>
      <w:r>
        <w:rPr>
          <w:rFonts w:hint="eastAsia" w:ascii="仿宋" w:hAnsi="仿宋" w:eastAsia="仿宋" w:cs="仿宋"/>
          <w:sz w:val="28"/>
          <w:szCs w:val="28"/>
          <w:u w:val="none"/>
        </w:rPr>
        <w:t>表3-2 2021年度教师情况</w:t>
      </w:r>
    </w:p>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kern w:val="0"/>
          <w:sz w:val="28"/>
          <w:szCs w:val="28"/>
          <w:u w:val="none"/>
        </w:rPr>
      </w:pPr>
      <w:r>
        <w:rPr>
          <w:rFonts w:hint="eastAsia" w:ascii="仿宋" w:hAnsi="仿宋" w:eastAsia="仿宋" w:cs="仿宋"/>
          <w:sz w:val="28"/>
          <w:szCs w:val="28"/>
          <w:u w:val="none"/>
        </w:rPr>
        <w:t>校内教师数量与结构</w:t>
      </w:r>
    </w:p>
    <w:tbl>
      <w:tblPr>
        <w:tblStyle w:val="8"/>
        <w:tblW w:w="4998" w:type="pct"/>
        <w:tblInd w:w="0" w:type="dxa"/>
        <w:tblLayout w:type="autofit"/>
        <w:tblCellMar>
          <w:top w:w="0" w:type="dxa"/>
          <w:left w:w="108" w:type="dxa"/>
          <w:bottom w:w="0" w:type="dxa"/>
          <w:right w:w="108" w:type="dxa"/>
        </w:tblCellMar>
      </w:tblPr>
      <w:tblGrid>
        <w:gridCol w:w="1200"/>
        <w:gridCol w:w="671"/>
        <w:gridCol w:w="917"/>
        <w:gridCol w:w="919"/>
        <w:gridCol w:w="917"/>
        <w:gridCol w:w="921"/>
        <w:gridCol w:w="718"/>
        <w:gridCol w:w="797"/>
        <w:gridCol w:w="584"/>
        <w:gridCol w:w="797"/>
        <w:gridCol w:w="616"/>
      </w:tblGrid>
      <w:tr>
        <w:tblPrEx>
          <w:tblCellMar>
            <w:top w:w="0" w:type="dxa"/>
            <w:left w:w="108" w:type="dxa"/>
            <w:bottom w:w="0" w:type="dxa"/>
            <w:right w:w="108" w:type="dxa"/>
          </w:tblCellMar>
        </w:tblPrEx>
        <w:trPr>
          <w:trHeight w:val="340" w:hRule="atLeast"/>
        </w:trPr>
        <w:tc>
          <w:tcPr>
            <w:tcW w:w="662"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在职教师人数</w:t>
            </w:r>
          </w:p>
        </w:tc>
        <w:tc>
          <w:tcPr>
            <w:tcW w:w="2027"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学历情况</w:t>
            </w:r>
          </w:p>
        </w:tc>
      </w:tr>
      <w:tr>
        <w:tblPrEx>
          <w:tblCellMar>
            <w:top w:w="0" w:type="dxa"/>
            <w:left w:w="108" w:type="dxa"/>
            <w:bottom w:w="0" w:type="dxa"/>
            <w:right w:w="108" w:type="dxa"/>
          </w:tblCellMar>
        </w:tblPrEx>
        <w:trPr>
          <w:trHeight w:val="340" w:hRule="atLeast"/>
        </w:trPr>
        <w:tc>
          <w:tcPr>
            <w:tcW w:w="662"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硕士生人数</w:t>
            </w:r>
          </w:p>
        </w:tc>
        <w:tc>
          <w:tcPr>
            <w:tcW w:w="322"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大专人数</w:t>
            </w:r>
          </w:p>
        </w:tc>
        <w:tc>
          <w:tcPr>
            <w:tcW w:w="33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大专以下人数</w:t>
            </w:r>
          </w:p>
        </w:tc>
      </w:tr>
      <w:tr>
        <w:tblPrEx>
          <w:tblCellMar>
            <w:top w:w="0" w:type="dxa"/>
            <w:left w:w="108" w:type="dxa"/>
            <w:bottom w:w="0" w:type="dxa"/>
            <w:right w:w="108" w:type="dxa"/>
          </w:tblCellMar>
        </w:tblPrEx>
        <w:trPr>
          <w:trHeight w:val="340" w:hRule="atLeast"/>
        </w:trPr>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校本部</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14</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4</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4</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6</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3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8</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4</w:t>
            </w:r>
          </w:p>
        </w:tc>
        <w:tc>
          <w:tcPr>
            <w:tcW w:w="33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r>
      <w:tr>
        <w:tblPrEx>
          <w:tblCellMar>
            <w:top w:w="0" w:type="dxa"/>
            <w:left w:w="108" w:type="dxa"/>
            <w:bottom w:w="0" w:type="dxa"/>
            <w:right w:w="108" w:type="dxa"/>
          </w:tblCellMar>
        </w:tblPrEx>
        <w:trPr>
          <w:trHeight w:val="340" w:hRule="atLeast"/>
        </w:trPr>
        <w:tc>
          <w:tcPr>
            <w:tcW w:w="66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所辖县级机构汇总</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9</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3</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6</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322"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6</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3</w:t>
            </w:r>
          </w:p>
        </w:tc>
        <w:tc>
          <w:tcPr>
            <w:tcW w:w="33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r>
    </w:tbl>
    <w:p>
      <w:pPr>
        <w:keepNext w:val="0"/>
        <w:keepLines w:val="0"/>
        <w:pageBreakBefore w:val="0"/>
        <w:widowControl/>
        <w:kinsoku/>
        <w:wordWrap/>
        <w:overflowPunct/>
        <w:topLinePunct w:val="0"/>
        <w:autoSpaceDE/>
        <w:autoSpaceDN/>
        <w:bidi w:val="0"/>
        <w:adjustRightInd w:val="0"/>
        <w:snapToGrid w:val="0"/>
        <w:spacing w:line="500" w:lineRule="exact"/>
        <w:jc w:val="center"/>
        <w:textAlignment w:val="center"/>
        <w:outlineLvl w:val="1"/>
        <w:rPr>
          <w:rFonts w:hint="eastAsia" w:ascii="仿宋" w:hAnsi="仿宋" w:eastAsia="仿宋" w:cs="仿宋"/>
          <w:kern w:val="0"/>
          <w:sz w:val="28"/>
          <w:szCs w:val="28"/>
          <w:u w:val="none"/>
        </w:rPr>
      </w:pPr>
      <w:r>
        <w:rPr>
          <w:rFonts w:hint="eastAsia" w:ascii="仿宋" w:hAnsi="仿宋" w:eastAsia="仿宋" w:cs="仿宋"/>
          <w:kern w:val="0"/>
          <w:sz w:val="28"/>
          <w:szCs w:val="28"/>
          <w:u w:val="none"/>
        </w:rPr>
        <w:t>校外聘任教师数量与结构</w:t>
      </w:r>
    </w:p>
    <w:tbl>
      <w:tblPr>
        <w:tblStyle w:val="8"/>
        <w:tblW w:w="4999" w:type="pct"/>
        <w:tblInd w:w="0" w:type="dxa"/>
        <w:tblLayout w:type="autofit"/>
        <w:tblCellMar>
          <w:top w:w="0" w:type="dxa"/>
          <w:left w:w="108" w:type="dxa"/>
          <w:bottom w:w="0" w:type="dxa"/>
          <w:right w:w="108" w:type="dxa"/>
        </w:tblCellMar>
      </w:tblPr>
      <w:tblGrid>
        <w:gridCol w:w="1201"/>
        <w:gridCol w:w="671"/>
        <w:gridCol w:w="917"/>
        <w:gridCol w:w="919"/>
        <w:gridCol w:w="917"/>
        <w:gridCol w:w="921"/>
        <w:gridCol w:w="718"/>
        <w:gridCol w:w="798"/>
        <w:gridCol w:w="585"/>
        <w:gridCol w:w="798"/>
        <w:gridCol w:w="614"/>
      </w:tblGrid>
      <w:tr>
        <w:tblPrEx>
          <w:tblCellMar>
            <w:top w:w="0" w:type="dxa"/>
            <w:left w:w="108" w:type="dxa"/>
            <w:bottom w:w="0" w:type="dxa"/>
            <w:right w:w="108" w:type="dxa"/>
          </w:tblCellMar>
        </w:tblPrEx>
        <w:trPr>
          <w:trHeight w:val="340" w:hRule="atLeast"/>
        </w:trPr>
        <w:tc>
          <w:tcPr>
            <w:tcW w:w="663"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单位</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名称</w:t>
            </w:r>
          </w:p>
        </w:tc>
        <w:tc>
          <w:tcPr>
            <w:tcW w:w="370" w:type="pct"/>
            <w:vMerge w:val="restar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兼职教师人数</w:t>
            </w:r>
          </w:p>
        </w:tc>
        <w:tc>
          <w:tcPr>
            <w:tcW w:w="2027" w:type="pct"/>
            <w:gridSpan w:val="4"/>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职称情况</w:t>
            </w:r>
          </w:p>
        </w:tc>
        <w:tc>
          <w:tcPr>
            <w:tcW w:w="1938" w:type="pct"/>
            <w:gridSpan w:val="5"/>
            <w:tcBorders>
              <w:top w:val="single" w:color="auto" w:sz="4" w:space="0"/>
              <w:left w:val="nil"/>
              <w:bottom w:val="single" w:color="auto" w:sz="4" w:space="0"/>
              <w:right w:val="single" w:color="auto" w:sz="4" w:space="0"/>
            </w:tcBorders>
            <w:shd w:val="clear" w:color="auto" w:fill="F1F1F1" w:themeFill="background1" w:themeFillShade="F2"/>
            <w:noWrap/>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学历情况</w:t>
            </w:r>
          </w:p>
        </w:tc>
      </w:tr>
      <w:tr>
        <w:tblPrEx>
          <w:tblCellMar>
            <w:top w:w="0" w:type="dxa"/>
            <w:left w:w="108" w:type="dxa"/>
            <w:bottom w:w="0" w:type="dxa"/>
            <w:right w:w="108" w:type="dxa"/>
          </w:tblCellMar>
        </w:tblPrEx>
        <w:trPr>
          <w:trHeight w:val="340" w:hRule="atLeast"/>
        </w:trPr>
        <w:tc>
          <w:tcPr>
            <w:tcW w:w="663"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370" w:type="pct"/>
            <w:vMerge w:val="continue"/>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正高职称人数</w:t>
            </w:r>
          </w:p>
        </w:tc>
        <w:tc>
          <w:tcPr>
            <w:tcW w:w="507"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副高职称人数</w:t>
            </w:r>
          </w:p>
        </w:tc>
        <w:tc>
          <w:tcPr>
            <w:tcW w:w="50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中级职称人数</w:t>
            </w:r>
          </w:p>
        </w:tc>
        <w:tc>
          <w:tcPr>
            <w:tcW w:w="508"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中级以下职称人数</w:t>
            </w:r>
          </w:p>
        </w:tc>
        <w:tc>
          <w:tcPr>
            <w:tcW w:w="39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博士生人数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硕士生人数</w:t>
            </w:r>
          </w:p>
        </w:tc>
        <w:tc>
          <w:tcPr>
            <w:tcW w:w="323"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本科人数</w:t>
            </w:r>
          </w:p>
        </w:tc>
        <w:tc>
          <w:tcPr>
            <w:tcW w:w="440"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大专人数</w:t>
            </w:r>
          </w:p>
        </w:tc>
        <w:tc>
          <w:tcPr>
            <w:tcW w:w="336" w:type="pct"/>
            <w:tcBorders>
              <w:top w:val="single" w:color="auto" w:sz="4" w:space="0"/>
              <w:left w:val="nil"/>
              <w:bottom w:val="single" w:color="auto" w:sz="4" w:space="0"/>
              <w:right w:val="single" w:color="auto" w:sz="4" w:space="0"/>
            </w:tcBorders>
            <w:shd w:val="clear" w:color="auto" w:fill="F1F1F1" w:themeFill="background1" w:themeFillShade="F2"/>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大专以下人数</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校本部</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10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3</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5</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2</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8</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0</w:t>
            </w:r>
          </w:p>
        </w:tc>
      </w:tr>
      <w:tr>
        <w:tblPrEx>
          <w:tblCellMar>
            <w:top w:w="0" w:type="dxa"/>
            <w:left w:w="108" w:type="dxa"/>
            <w:bottom w:w="0" w:type="dxa"/>
            <w:right w:w="108" w:type="dxa"/>
          </w:tblCellMar>
        </w:tblPrEx>
        <w:trPr>
          <w:trHeight w:val="340" w:hRule="atLeast"/>
        </w:trPr>
        <w:tc>
          <w:tcPr>
            <w:tcW w:w="66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8"/>
                <w:szCs w:val="28"/>
                <w:u w:val="none"/>
              </w:rPr>
            </w:pPr>
            <w:r>
              <w:rPr>
                <w:rFonts w:hint="eastAsia" w:ascii="仿宋" w:hAnsi="仿宋" w:eastAsia="仿宋" w:cs="仿宋"/>
                <w:sz w:val="28"/>
                <w:szCs w:val="28"/>
                <w:u w:val="none"/>
              </w:rPr>
              <w:t>所辖县级机构汇总</w:t>
            </w:r>
          </w:p>
        </w:tc>
        <w:tc>
          <w:tcPr>
            <w:tcW w:w="37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7"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508"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39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323"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440"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c>
          <w:tcPr>
            <w:tcW w:w="336" w:type="pc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kern w:val="0"/>
                <w:sz w:val="28"/>
                <w:szCs w:val="28"/>
                <w:u w:val="none"/>
              </w:rPr>
            </w:pPr>
            <w:r>
              <w:rPr>
                <w:rFonts w:hint="eastAsia" w:ascii="仿宋" w:hAnsi="仿宋" w:eastAsia="仿宋" w:cs="仿宋"/>
                <w:kern w:val="0"/>
                <w:sz w:val="28"/>
                <w:szCs w:val="28"/>
                <w:u w:val="none"/>
              </w:rPr>
              <w:t>0</w:t>
            </w:r>
          </w:p>
        </w:tc>
      </w:tr>
    </w:tbl>
    <w:p>
      <w:pPr>
        <w:pStyle w:val="2"/>
        <w:keepNext w:val="0"/>
        <w:keepLines w:val="0"/>
        <w:pageBreakBefore w:val="0"/>
        <w:kinsoku/>
        <w:wordWrap/>
        <w:overflowPunct/>
        <w:topLinePunct w:val="0"/>
        <w:autoSpaceDE/>
        <w:autoSpaceDN/>
        <w:bidi w:val="0"/>
        <w:spacing w:after="0" w:line="500" w:lineRule="exact"/>
        <w:ind w:firstLine="640" w:firstLineChars="200"/>
        <w:outlineLvl w:val="0"/>
        <w:rPr>
          <w:rFonts w:ascii="楷体" w:hAnsi="楷体" w:eastAsia="楷体" w:cs="楷体"/>
          <w:b/>
          <w:bCs/>
          <w:sz w:val="32"/>
          <w:szCs w:val="32"/>
          <w:u w:val="none"/>
        </w:rPr>
      </w:pPr>
      <w:r>
        <w:rPr>
          <w:rFonts w:hint="eastAsia" w:ascii="黑体" w:hAnsi="黑体" w:eastAsia="黑体" w:cs="黑体"/>
          <w:sz w:val="32"/>
          <w:szCs w:val="32"/>
          <w:u w:val="none"/>
        </w:rPr>
        <w:t>四、科学研究和特色创新</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（一）科学研究</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仿宋_GB2312" w:hAnsi="宋体" w:eastAsia="仿宋_GB2312" w:cs="宋体"/>
          <w:color w:val="000000"/>
          <w:kern w:val="0"/>
          <w:sz w:val="32"/>
          <w:szCs w:val="32"/>
          <w:u w:val="none"/>
        </w:rPr>
      </w:pPr>
      <w:r>
        <w:rPr>
          <w:rFonts w:hint="eastAsia" w:ascii="仿宋" w:hAnsi="仿宋" w:eastAsia="仿宋" w:cs="仿宋"/>
          <w:color w:val="000000"/>
          <w:kern w:val="0"/>
          <w:sz w:val="32"/>
          <w:szCs w:val="32"/>
          <w:u w:val="none"/>
        </w:rPr>
        <w:t>近年来，</w:t>
      </w:r>
      <w:r>
        <w:rPr>
          <w:rFonts w:hint="eastAsia" w:ascii="仿宋" w:hAnsi="仿宋" w:eastAsia="仿宋" w:cs="仿宋"/>
          <w:color w:val="000000"/>
          <w:kern w:val="0"/>
          <w:sz w:val="32"/>
          <w:szCs w:val="32"/>
          <w:u w:val="none"/>
          <w:lang w:val="en-US" w:eastAsia="zh-CN"/>
        </w:rPr>
        <w:t>学</w:t>
      </w:r>
      <w:r>
        <w:rPr>
          <w:rFonts w:hint="eastAsia" w:ascii="仿宋" w:hAnsi="仿宋" w:eastAsia="仿宋" w:cs="仿宋"/>
          <w:color w:val="000000"/>
          <w:kern w:val="0"/>
          <w:sz w:val="32"/>
          <w:szCs w:val="32"/>
          <w:u w:val="none"/>
        </w:rPr>
        <w:t>校专职、兼职教师研究成果丰硕，评上各类高级以上职称的4名，发表核心刊物文章12篇、省级刊物21篇，教育类研究课题4个。</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（二）特色创新</w:t>
      </w:r>
    </w:p>
    <w:p>
      <w:pPr>
        <w:keepNext w:val="0"/>
        <w:keepLines w:val="0"/>
        <w:pageBreakBefore w:val="0"/>
        <w:kinsoku/>
        <w:wordWrap/>
        <w:overflowPunct/>
        <w:topLinePunct w:val="0"/>
        <w:autoSpaceDE/>
        <w:autoSpaceDN/>
        <w:bidi w:val="0"/>
        <w:spacing w:line="500" w:lineRule="exact"/>
        <w:ind w:firstLine="640" w:firstLineChars="200"/>
        <w:rPr>
          <w:rFonts w:hint="eastAsia" w:ascii="仿宋" w:hAnsi="仿宋" w:eastAsia="仿宋" w:cs="仿宋"/>
          <w:color w:val="191919"/>
          <w:sz w:val="32"/>
          <w:szCs w:val="32"/>
          <w:u w:val="none"/>
          <w:lang w:eastAsia="zh-CN"/>
        </w:rPr>
      </w:pPr>
      <w:r>
        <w:rPr>
          <w:rFonts w:hint="eastAsia" w:ascii="仿宋" w:hAnsi="仿宋" w:eastAsia="仿宋" w:cs="仿宋"/>
          <w:color w:val="191919"/>
          <w:sz w:val="32"/>
          <w:szCs w:val="32"/>
          <w:u w:val="none"/>
        </w:rPr>
        <w:t>2021年，</w:t>
      </w:r>
      <w:r>
        <w:rPr>
          <w:rFonts w:hint="eastAsia" w:ascii="仿宋" w:hAnsi="仿宋" w:eastAsia="仿宋" w:cs="仿宋"/>
          <w:color w:val="191919"/>
          <w:sz w:val="32"/>
          <w:szCs w:val="32"/>
          <w:u w:val="none"/>
          <w:lang w:val="en-US" w:eastAsia="zh-CN"/>
        </w:rPr>
        <w:t>学</w:t>
      </w:r>
      <w:r>
        <w:rPr>
          <w:rFonts w:hint="eastAsia" w:ascii="仿宋" w:hAnsi="仿宋" w:eastAsia="仿宋" w:cs="仿宋"/>
          <w:color w:val="191919"/>
          <w:sz w:val="32"/>
          <w:szCs w:val="32"/>
          <w:u w:val="none"/>
        </w:rPr>
        <w:t>校招生合理、有序布局，积极拓展办学阵地</w:t>
      </w:r>
      <w:r>
        <w:rPr>
          <w:rFonts w:hint="eastAsia" w:ascii="仿宋" w:hAnsi="仿宋" w:eastAsia="仿宋" w:cs="仿宋"/>
          <w:color w:val="191919"/>
          <w:sz w:val="32"/>
          <w:szCs w:val="32"/>
          <w:u w:val="none"/>
          <w:lang w:eastAsia="zh-CN"/>
        </w:rPr>
        <w:t>：</w:t>
      </w:r>
    </w:p>
    <w:p>
      <w:pPr>
        <w:keepNext w:val="0"/>
        <w:keepLines w:val="0"/>
        <w:pageBreakBefore w:val="0"/>
        <w:numPr>
          <w:ilvl w:val="0"/>
          <w:numId w:val="2"/>
        </w:numPr>
        <w:kinsoku/>
        <w:wordWrap/>
        <w:overflowPunct/>
        <w:topLinePunct w:val="0"/>
        <w:autoSpaceDE/>
        <w:autoSpaceDN/>
        <w:bidi w:val="0"/>
        <w:spacing w:line="500" w:lineRule="exact"/>
        <w:ind w:firstLine="640" w:firstLineChars="200"/>
        <w:rPr>
          <w:rFonts w:hint="eastAsia" w:ascii="仿宋" w:hAnsi="仿宋" w:eastAsia="仿宋" w:cs="仿宋"/>
          <w:color w:val="191919"/>
          <w:sz w:val="32"/>
          <w:szCs w:val="32"/>
          <w:u w:val="none"/>
          <w:lang w:eastAsia="zh-CN"/>
        </w:rPr>
      </w:pPr>
      <w:r>
        <w:rPr>
          <w:rFonts w:hint="eastAsia" w:ascii="仿宋" w:hAnsi="仿宋" w:eastAsia="仿宋" w:cs="仿宋"/>
          <w:color w:val="191919"/>
          <w:sz w:val="32"/>
          <w:szCs w:val="32"/>
          <w:u w:val="none"/>
        </w:rPr>
        <w:t>以村社区“两委”学历提升需求为背景，积极与全市各级组织部门进行沟通协调，校招生部门抓住“两委”换届机遇及时深入各乡镇和村级一线，开展开放教育学历优越性的宣传。在组织部门大力支持下，2021春季招收“两委干部”学员共计406人，2021年秋季招收180人</w:t>
      </w:r>
      <w:r>
        <w:rPr>
          <w:rFonts w:hint="eastAsia" w:ascii="仿宋" w:hAnsi="仿宋" w:eastAsia="仿宋" w:cs="仿宋"/>
          <w:color w:val="191919"/>
          <w:sz w:val="32"/>
          <w:szCs w:val="32"/>
          <w:u w:val="none"/>
          <w:lang w:eastAsia="zh-CN"/>
        </w:rPr>
        <w:t>，</w:t>
      </w:r>
    </w:p>
    <w:p>
      <w:pPr>
        <w:keepNext w:val="0"/>
        <w:keepLines w:val="0"/>
        <w:pageBreakBefore w:val="0"/>
        <w:numPr>
          <w:ilvl w:val="0"/>
          <w:numId w:val="2"/>
        </w:numPr>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color w:val="191919"/>
          <w:sz w:val="32"/>
          <w:szCs w:val="32"/>
          <w:u w:val="none"/>
        </w:rPr>
        <w:t>以《江西省公安机关警务辅助人员条例》出台为契机，抓住辅警就业保障提高对于学历层次的要求这一契机，校领导班子迅速寻求市公安局支持，同时校招生部门立即深入全市公安系统进行宣传，2021年春季招收辅警学员221人。据统计，全市公安系统85%以上的辅警都在</w:t>
      </w:r>
      <w:r>
        <w:rPr>
          <w:rFonts w:hint="eastAsia" w:ascii="仿宋" w:hAnsi="仿宋" w:eastAsia="仿宋" w:cs="仿宋"/>
          <w:color w:val="191919"/>
          <w:sz w:val="32"/>
          <w:szCs w:val="32"/>
          <w:u w:val="none"/>
          <w:lang w:val="en-US" w:eastAsia="zh-CN"/>
        </w:rPr>
        <w:t>学</w:t>
      </w:r>
      <w:r>
        <w:rPr>
          <w:rFonts w:hint="eastAsia" w:ascii="仿宋" w:hAnsi="仿宋" w:eastAsia="仿宋" w:cs="仿宋"/>
          <w:color w:val="191919"/>
          <w:sz w:val="32"/>
          <w:szCs w:val="32"/>
          <w:u w:val="none"/>
        </w:rPr>
        <w:t>校就读开放教育</w:t>
      </w:r>
      <w:r>
        <w:rPr>
          <w:rFonts w:hint="eastAsia" w:ascii="仿宋" w:hAnsi="仿宋" w:eastAsia="仿宋" w:cs="仿宋"/>
          <w:color w:val="191919"/>
          <w:sz w:val="32"/>
          <w:szCs w:val="32"/>
          <w:u w:val="none"/>
          <w:lang w:eastAsia="zh-CN"/>
        </w:rPr>
        <w:t>。</w:t>
      </w:r>
    </w:p>
    <w:p>
      <w:pPr>
        <w:keepNext w:val="0"/>
        <w:keepLines w:val="0"/>
        <w:pageBreakBefore w:val="0"/>
        <w:numPr>
          <w:ilvl w:val="0"/>
          <w:numId w:val="2"/>
        </w:numPr>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color w:val="191919"/>
          <w:sz w:val="32"/>
          <w:szCs w:val="32"/>
          <w:u w:val="none"/>
        </w:rPr>
        <w:t>积极寻求新的开放教育招生模式，2020年和鹰潭市企业联合会签订校企合作项目协议，经过不断的沟通努力，建立了“学校、企业、员工”为一体的人才培养交流平台，为</w:t>
      </w:r>
      <w:r>
        <w:rPr>
          <w:rFonts w:hint="eastAsia" w:ascii="仿宋" w:hAnsi="仿宋" w:eastAsia="仿宋" w:cs="仿宋"/>
          <w:color w:val="191919"/>
          <w:sz w:val="32"/>
          <w:szCs w:val="32"/>
          <w:u w:val="none"/>
          <w:lang w:val="en-US" w:eastAsia="zh-CN"/>
        </w:rPr>
        <w:t>学</w:t>
      </w:r>
      <w:r>
        <w:rPr>
          <w:rFonts w:hint="eastAsia" w:ascii="仿宋" w:hAnsi="仿宋" w:eastAsia="仿宋" w:cs="仿宋"/>
          <w:color w:val="191919"/>
          <w:sz w:val="32"/>
          <w:szCs w:val="32"/>
          <w:u w:val="none"/>
        </w:rPr>
        <w:t>校挖掘潜在生源创造了机遇。2021春季鹰潭市海利贵溪化工有限公司输送了33名员工就读开放教育，2021秋季，输送了48人。</w:t>
      </w:r>
    </w:p>
    <w:p>
      <w:pPr>
        <w:pStyle w:val="2"/>
        <w:keepNext w:val="0"/>
        <w:keepLines w:val="0"/>
        <w:pageBreakBefore w:val="0"/>
        <w:kinsoku/>
        <w:wordWrap/>
        <w:overflowPunct/>
        <w:topLinePunct w:val="0"/>
        <w:autoSpaceDE/>
        <w:autoSpaceDN/>
        <w:bidi w:val="0"/>
        <w:spacing w:after="0" w:line="500" w:lineRule="exact"/>
        <w:ind w:firstLine="643" w:firstLineChars="200"/>
        <w:outlineLvl w:val="0"/>
        <w:rPr>
          <w:rFonts w:ascii="黑体" w:hAnsi="黑体" w:eastAsia="黑体" w:cs="黑体"/>
          <w:sz w:val="32"/>
          <w:szCs w:val="32"/>
          <w:u w:val="none"/>
        </w:rPr>
      </w:pPr>
      <w:r>
        <w:rPr>
          <w:rFonts w:hint="eastAsia" w:ascii="黑体" w:hAnsi="黑体" w:eastAsia="黑体" w:cs="黑体"/>
          <w:b/>
          <w:bCs/>
          <w:sz w:val="32"/>
          <w:szCs w:val="32"/>
          <w:u w:val="none"/>
        </w:rPr>
        <w:t>五</w:t>
      </w:r>
      <w:r>
        <w:rPr>
          <w:rFonts w:hint="eastAsia" w:ascii="黑体" w:hAnsi="黑体" w:eastAsia="黑体" w:cs="黑体"/>
          <w:sz w:val="32"/>
          <w:szCs w:val="32"/>
          <w:u w:val="none"/>
        </w:rPr>
        <w:t>、社会服务</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（一）服务地方经济社会发展与学习型社会建设情况</w:t>
      </w:r>
    </w:p>
    <w:p>
      <w:pPr>
        <w:keepNext w:val="0"/>
        <w:keepLines w:val="0"/>
        <w:pageBreakBefore w:val="0"/>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1.乡村振兴。充分利用开放教育现代远程教育手段，应用到教学各个环节。邀请市委农工部领导和专家为学员授课，提升综合素质和社会实践能力，培养和造就了以李汉富、张单英为代表的一批扎根农村、服务农民、带头致富的乡土实用人才。“ 一村一”毕业学员、贵溪市金屯镇高公村委会书记李汉富在2015年4月25日《江西日报》头版显著位置刊登的《培养“不走的大学生”——我省实施“一村一名大学生工程”纪实》，作为全省二名重点推荐的典型予以介绍；张单英同志资助留守儿童，从2015年至今已经资助留守儿童49名，多次被省级、市级</w:t>
      </w:r>
      <w:r>
        <w:rPr>
          <w:rFonts w:hint="eastAsia" w:ascii="仿宋" w:hAnsi="仿宋" w:eastAsia="仿宋" w:cs="仿宋"/>
          <w:sz w:val="32"/>
          <w:szCs w:val="32"/>
          <w:u w:val="none"/>
          <w:lang w:eastAsia="zh-CN"/>
        </w:rPr>
        <w:t>媒体报道</w:t>
      </w:r>
      <w:r>
        <w:rPr>
          <w:rFonts w:hint="eastAsia" w:ascii="仿宋" w:hAnsi="仿宋" w:eastAsia="仿宋" w:cs="仿宋"/>
          <w:sz w:val="32"/>
          <w:szCs w:val="32"/>
          <w:u w:val="none"/>
        </w:rPr>
        <w:t>。“一村一名大学生工程”创新了政府和高校服务社会主义新农村建设模式，也将开放教育的品牌宣传到了最基层，</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校受益匪浅。</w:t>
      </w:r>
    </w:p>
    <w:p>
      <w:pPr>
        <w:pStyle w:val="2"/>
        <w:keepNext w:val="0"/>
        <w:keepLines w:val="0"/>
        <w:pageBreakBefore w:val="0"/>
        <w:kinsoku/>
        <w:wordWrap/>
        <w:overflowPunct/>
        <w:topLinePunct w:val="0"/>
        <w:autoSpaceDE/>
        <w:autoSpaceDN/>
        <w:bidi w:val="0"/>
        <w:spacing w:after="0"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2.产业服务。自2020年9月，</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校与鹰潭市企业联合会签订校企合作项目协议以来，积极与相关机构、企业进行沟通和交流，定期开展系列活动，建立了“学校、企业、员工”为一体的人才培养交流平台，成功实现互利双赢，为</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校发掘了更多的潜在生源，同时塑造了良好的品牌形象，</w:t>
      </w:r>
      <w:r>
        <w:rPr>
          <w:rFonts w:hint="eastAsia" w:ascii="仿宋" w:hAnsi="仿宋" w:eastAsia="仿宋" w:cs="仿宋"/>
          <w:sz w:val="32"/>
          <w:szCs w:val="32"/>
          <w:u w:val="none"/>
          <w:lang w:eastAsia="zh-CN"/>
        </w:rPr>
        <w:t>截至</w:t>
      </w:r>
      <w:r>
        <w:rPr>
          <w:rFonts w:hint="eastAsia" w:ascii="仿宋" w:hAnsi="仿宋" w:eastAsia="仿宋" w:cs="仿宋"/>
          <w:sz w:val="32"/>
          <w:szCs w:val="32"/>
          <w:u w:val="none"/>
        </w:rPr>
        <w:t>2021秋季，贵溪海利化工企业共有80名产业工人在</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校进行学历提升。</w:t>
      </w:r>
    </w:p>
    <w:p>
      <w:pPr>
        <w:keepNext w:val="0"/>
        <w:keepLines w:val="0"/>
        <w:pageBreakBefore w:val="0"/>
        <w:kinsoku/>
        <w:wordWrap/>
        <w:overflowPunct/>
        <w:topLinePunct w:val="0"/>
        <w:autoSpaceDE/>
        <w:autoSpaceDN/>
        <w:bidi w:val="0"/>
        <w:spacing w:line="500" w:lineRule="exact"/>
        <w:ind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3.社区教育及老年教育。构建终身教育是国家教育体系的重要组成部分，</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校也于2019年5月成立了“鹰潭市社区教育指导中心”，</w:t>
      </w:r>
      <w:r>
        <w:rPr>
          <w:rFonts w:hint="eastAsia" w:ascii="仿宋" w:hAnsi="仿宋" w:eastAsia="仿宋" w:cs="仿宋"/>
          <w:color w:val="000000"/>
          <w:sz w:val="32"/>
          <w:szCs w:val="32"/>
          <w:u w:val="none"/>
        </w:rPr>
        <w:t>加快全面构建现代国民教育体系和终身教育体系步伐</w:t>
      </w:r>
      <w:r>
        <w:rPr>
          <w:rFonts w:hint="eastAsia" w:ascii="仿宋" w:hAnsi="仿宋" w:eastAsia="仿宋" w:cs="仿宋"/>
          <w:color w:val="000000"/>
          <w:sz w:val="32"/>
          <w:szCs w:val="32"/>
          <w:u w:val="none"/>
          <w:lang w:eastAsia="zh-CN"/>
        </w:rPr>
        <w:t>，</w:t>
      </w:r>
      <w:r>
        <w:rPr>
          <w:rFonts w:hint="eastAsia" w:ascii="仿宋" w:hAnsi="仿宋" w:eastAsia="仿宋" w:cs="仿宋"/>
          <w:sz w:val="32"/>
          <w:szCs w:val="32"/>
          <w:u w:val="none"/>
        </w:rPr>
        <w:t>未来将形成以开放教育、职业教育、继续教育、社区教育、老年教育融合发展的新模式。2021年，与鹰潭市芳华学院签署战略合作协议，双方就社区教育、老年教育达成了资源共享、强强联合等合作协议，为</w:t>
      </w:r>
      <w:r>
        <w:rPr>
          <w:rFonts w:hint="eastAsia" w:ascii="仿宋" w:hAnsi="仿宋" w:eastAsia="仿宋" w:cs="仿宋"/>
          <w:sz w:val="32"/>
          <w:szCs w:val="32"/>
          <w:u w:val="none"/>
          <w:lang w:val="en-US" w:eastAsia="zh-CN"/>
        </w:rPr>
        <w:t>全市</w:t>
      </w:r>
      <w:r>
        <w:rPr>
          <w:rFonts w:hint="eastAsia" w:ascii="仿宋" w:hAnsi="仿宋" w:eastAsia="仿宋" w:cs="仿宋"/>
          <w:sz w:val="32"/>
          <w:szCs w:val="32"/>
          <w:u w:val="none"/>
        </w:rPr>
        <w:t>社区、老年教育作出了新的贡献。</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仿宋"/>
          <w:sz w:val="32"/>
          <w:szCs w:val="32"/>
          <w:u w:val="none"/>
        </w:rPr>
      </w:pPr>
      <w:r>
        <w:rPr>
          <w:rFonts w:hint="eastAsia" w:ascii="仿宋" w:hAnsi="仿宋" w:eastAsia="仿宋" w:cs="仿宋"/>
          <w:sz w:val="32"/>
          <w:szCs w:val="32"/>
          <w:u w:val="none"/>
        </w:rPr>
        <w:t>4.职业培训。一是与鹰潭市鑫源蛋糕学校合作，对鹰潭市人社局认定的烘焙类职业人才开展了专题烘焙培训班，共培训40人。二是以党建为统领，在</w:t>
      </w:r>
      <w:r>
        <w:rPr>
          <w:rFonts w:hint="eastAsia" w:ascii="仿宋" w:hAnsi="仿宋" w:eastAsia="仿宋" w:cs="仿宋"/>
          <w:sz w:val="32"/>
          <w:szCs w:val="32"/>
          <w:u w:val="none"/>
          <w:lang w:val="en-US" w:eastAsia="zh-CN"/>
        </w:rPr>
        <w:t>学校</w:t>
      </w:r>
      <w:r>
        <w:rPr>
          <w:rFonts w:hint="eastAsia" w:ascii="仿宋" w:hAnsi="仿宋" w:eastAsia="仿宋" w:cs="仿宋"/>
          <w:sz w:val="32"/>
          <w:szCs w:val="32"/>
          <w:u w:val="none"/>
        </w:rPr>
        <w:t>党建挂点社区对社区干部进行了计算机操作培训，共培训社区干部30人。三是组织了会计职业培训，面向社会人员开展会计职业培训，共开展3个班次，培训70人。四是与鹰潭市红十字会开展应急救护人员培训，在</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校设立了鹰潭市应急救护培训基地，面向机关、企事业单位、社区干部及部分社会人员开展了应急救护培训，对培训合格的人士由鹰潭市红十字协会颁发《应急救护员》证，共开展了6个班次，培训120人，其中</w:t>
      </w:r>
      <w:r>
        <w:rPr>
          <w:rFonts w:hint="eastAsia" w:ascii="仿宋" w:hAnsi="仿宋" w:eastAsia="仿宋" w:cs="仿宋"/>
          <w:sz w:val="32"/>
          <w:szCs w:val="32"/>
          <w:u w:val="none"/>
          <w:lang w:val="en-US" w:eastAsia="zh-CN"/>
        </w:rPr>
        <w:t>学</w:t>
      </w:r>
      <w:r>
        <w:rPr>
          <w:rFonts w:hint="eastAsia" w:ascii="仿宋" w:hAnsi="仿宋" w:eastAsia="仿宋" w:cs="仿宋"/>
          <w:sz w:val="32"/>
          <w:szCs w:val="32"/>
          <w:u w:val="none"/>
        </w:rPr>
        <w:t>校教师有7人获得了《应急救护员》证。</w:t>
      </w:r>
    </w:p>
    <w:p>
      <w:pPr>
        <w:keepNext w:val="0"/>
        <w:keepLines w:val="0"/>
        <w:pageBreakBefore w:val="0"/>
        <w:kinsoku/>
        <w:wordWrap/>
        <w:overflowPunct/>
        <w:topLinePunct w:val="0"/>
        <w:autoSpaceDE/>
        <w:autoSpaceDN/>
        <w:bidi w:val="0"/>
        <w:adjustRightInd w:val="0"/>
        <w:snapToGrid w:val="0"/>
        <w:spacing w:line="500" w:lineRule="exact"/>
        <w:ind w:firstLine="640" w:firstLineChars="200"/>
        <w:outlineLvl w:val="1"/>
        <w:rPr>
          <w:rFonts w:ascii="楷体" w:hAnsi="楷体" w:eastAsia="楷体" w:cs="楷体"/>
          <w:sz w:val="32"/>
          <w:szCs w:val="32"/>
          <w:u w:val="none"/>
        </w:rPr>
      </w:pPr>
      <w:r>
        <w:rPr>
          <w:rFonts w:hint="eastAsia" w:ascii="楷体" w:hAnsi="楷体" w:eastAsia="楷体" w:cs="楷体"/>
          <w:sz w:val="32"/>
          <w:szCs w:val="32"/>
          <w:u w:val="none"/>
        </w:rPr>
        <w:t>（二）学校资源面向校内、社会开放服务情况</w:t>
      </w:r>
    </w:p>
    <w:p>
      <w:pPr>
        <w:pStyle w:val="2"/>
        <w:keepNext w:val="0"/>
        <w:keepLines w:val="0"/>
        <w:pageBreakBefore w:val="0"/>
        <w:kinsoku/>
        <w:wordWrap/>
        <w:overflowPunct/>
        <w:topLinePunct w:val="0"/>
        <w:autoSpaceDE/>
        <w:autoSpaceDN/>
        <w:bidi w:val="0"/>
        <w:spacing w:after="0" w:line="500" w:lineRule="exact"/>
        <w:ind w:firstLine="640" w:firstLineChars="200"/>
        <w:rPr>
          <w:rFonts w:ascii="仿宋" w:hAnsi="仿宋" w:eastAsia="仿宋" w:cs="宋体"/>
          <w:kern w:val="0"/>
          <w:sz w:val="32"/>
          <w:szCs w:val="32"/>
          <w:u w:val="none"/>
        </w:rPr>
      </w:pPr>
      <w:r>
        <w:rPr>
          <w:rFonts w:hint="eastAsia" w:ascii="仿宋" w:hAnsi="仿宋" w:eastAsia="仿宋" w:cs="宋体"/>
          <w:kern w:val="0"/>
          <w:sz w:val="32"/>
          <w:szCs w:val="32"/>
          <w:u w:val="none"/>
        </w:rPr>
        <w:t>学校现有图书1200余册、多媒体教室3间、云教室一间和其他教学设备均对学员、社会开放。市卫健委每年组织的卫生系统考试、中国人民银行鹰潭分行组织的金融系统</w:t>
      </w:r>
      <w:r>
        <w:rPr>
          <w:rFonts w:hint="eastAsia" w:ascii="仿宋" w:hAnsi="仿宋" w:eastAsia="仿宋" w:cs="宋体"/>
          <w:kern w:val="0"/>
          <w:sz w:val="32"/>
          <w:szCs w:val="32"/>
          <w:u w:val="none"/>
          <w:lang w:val="en-US" w:eastAsia="zh-CN"/>
        </w:rPr>
        <w:t>考试</w:t>
      </w:r>
      <w:r>
        <w:rPr>
          <w:rFonts w:hint="eastAsia" w:ascii="仿宋" w:hAnsi="仿宋" w:eastAsia="仿宋" w:cs="宋体"/>
          <w:kern w:val="0"/>
          <w:sz w:val="32"/>
          <w:szCs w:val="32"/>
          <w:u w:val="none"/>
        </w:rPr>
        <w:t>、市委组织部组织的“两委”干部考试近年来均使用</w:t>
      </w:r>
      <w:r>
        <w:rPr>
          <w:rFonts w:hint="eastAsia" w:ascii="仿宋" w:hAnsi="仿宋" w:eastAsia="仿宋" w:cs="宋体"/>
          <w:kern w:val="0"/>
          <w:sz w:val="32"/>
          <w:szCs w:val="32"/>
          <w:u w:val="none"/>
          <w:lang w:val="en-US" w:eastAsia="zh-CN"/>
        </w:rPr>
        <w:t>学</w:t>
      </w:r>
      <w:r>
        <w:rPr>
          <w:rFonts w:hint="eastAsia" w:ascii="仿宋" w:hAnsi="仿宋" w:eastAsia="仿宋" w:cs="宋体"/>
          <w:kern w:val="0"/>
          <w:sz w:val="32"/>
          <w:szCs w:val="32"/>
          <w:u w:val="none"/>
        </w:rPr>
        <w:t>校多媒体教室。</w:t>
      </w:r>
    </w:p>
    <w:p>
      <w:pPr>
        <w:pStyle w:val="2"/>
        <w:keepNext w:val="0"/>
        <w:keepLines w:val="0"/>
        <w:pageBreakBefore w:val="0"/>
        <w:widowControl w:val="0"/>
        <w:kinsoku/>
        <w:wordWrap/>
        <w:overflowPunct/>
        <w:topLinePunct w:val="0"/>
        <w:autoSpaceDE/>
        <w:autoSpaceDN/>
        <w:bidi w:val="0"/>
        <w:adjustRightInd/>
        <w:snapToGrid/>
        <w:spacing w:after="0" w:line="500" w:lineRule="exact"/>
        <w:ind w:left="0" w:firstLine="640" w:firstLineChars="200"/>
        <w:textAlignment w:val="auto"/>
        <w:outlineLvl w:val="0"/>
        <w:rPr>
          <w:rFonts w:ascii="黑体" w:hAnsi="黑体" w:eastAsia="黑体" w:cs="黑体"/>
          <w:sz w:val="32"/>
          <w:szCs w:val="32"/>
          <w:u w:val="none"/>
        </w:rPr>
      </w:pPr>
      <w:r>
        <w:rPr>
          <w:rFonts w:hint="eastAsia" w:ascii="黑体" w:hAnsi="黑体" w:eastAsia="黑体" w:cs="黑体"/>
          <w:sz w:val="32"/>
          <w:szCs w:val="32"/>
          <w:u w:val="none"/>
        </w:rPr>
        <w:t>六、存在的问题</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firstLine="640" w:firstLineChars="200"/>
        <w:jc w:val="both"/>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1.市校办学主体责任不实，贯彻执行省校相关决策部署、配合省校相关业务工作态度不积极，工作不主动，工作质量和时效存在滞后现象。</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left="0" w:firstLine="640" w:firstLineChars="200"/>
        <w:jc w:val="both"/>
        <w:textAlignment w:val="auto"/>
        <w:outlineLvl w:val="0"/>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2.办学理念相对滞后，办学系统管理方式有待优化，综合治理能力有待加强。要与所辖办学单位签订合作办学协议，明确办学职责。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left="0" w:firstLine="640" w:firstLineChars="200"/>
        <w:jc w:val="both"/>
        <w:textAlignment w:val="auto"/>
        <w:outlineLvl w:val="0"/>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3.要重视“思政课程”“课程思政”教学工作与思政课教师队伍建设。</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firstLine="640" w:firstLineChars="200"/>
        <w:jc w:val="both"/>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4.教师年龄、专业结构不合理，专业师资力量较薄弱，呈现老龄化趋势。</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leftChars="0" w:firstLine="640" w:firstLineChars="2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5.办学场地不足，设施老旧，制约学校发展。</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left="0" w:firstLine="640" w:firstLineChars="200"/>
        <w:jc w:val="both"/>
        <w:textAlignment w:val="auto"/>
        <w:outlineLvl w:val="0"/>
        <w:rPr>
          <w:rFonts w:hint="default"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6.教学组织能力有待提升，要加强对人才培养方案和执行性教学计划的落实，并体现地方特色。</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460" w:lineRule="exact"/>
        <w:ind w:left="0" w:firstLine="640" w:firstLineChars="200"/>
        <w:jc w:val="both"/>
        <w:textAlignment w:val="auto"/>
        <w:rPr>
          <w:rFonts w:hint="default"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7.教学过程弱化。国开学习网教师参与度不高，2021年度“教师人均行为次数、天数”排名皆靠后。在调动学生学习积极性、主动性上举措不多，重招生轻教学的情况还比较突出。</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firstLine="640" w:firstLineChars="200"/>
        <w:textAlignment w:val="auto"/>
        <w:rPr>
          <w:rFonts w:hint="default"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8.要成立学生工作队伍，积极开展校友工作，做好毕业生评价与“互联网+”大学生创新创业活动组织工作。</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firstLine="640" w:firstLineChars="200"/>
        <w:jc w:val="both"/>
        <w:textAlignment w:val="auto"/>
        <w:outlineLvl w:val="0"/>
        <w:rPr>
          <w:rFonts w:hint="eastAsia" w:ascii="仿宋" w:hAnsi="仿宋" w:eastAsia="仿宋" w:cs="仿宋"/>
          <w:color w:val="auto"/>
          <w:spacing w:val="-6"/>
          <w:kern w:val="0"/>
          <w:sz w:val="32"/>
          <w:szCs w:val="32"/>
          <w:u w:val="none"/>
          <w:lang w:val="en-US" w:eastAsia="zh-CN"/>
        </w:rPr>
      </w:pPr>
      <w:r>
        <w:rPr>
          <w:rFonts w:hint="eastAsia" w:ascii="仿宋" w:hAnsi="仿宋" w:eastAsia="仿宋" w:cs="仿宋"/>
          <w:color w:val="auto"/>
          <w:kern w:val="2"/>
          <w:sz w:val="32"/>
          <w:szCs w:val="32"/>
          <w:u w:val="none"/>
          <w:lang w:val="en-US" w:eastAsia="zh-CN" w:bidi="ar-SA"/>
        </w:rPr>
        <w:t>9.</w:t>
      </w:r>
      <w:r>
        <w:rPr>
          <w:rFonts w:hint="eastAsia" w:ascii="仿宋" w:hAnsi="仿宋" w:eastAsia="仿宋" w:cs="仿宋"/>
          <w:color w:val="auto"/>
          <w:spacing w:val="-6"/>
          <w:kern w:val="0"/>
          <w:sz w:val="32"/>
          <w:szCs w:val="32"/>
          <w:u w:val="none"/>
          <w:lang w:val="en-US" w:eastAsia="zh-CN"/>
        </w:rPr>
        <w:t>要加大国家开放大学学位申请的宣传力度，做好学位外语培训和相关组织工作。2021年度无学生申请学位。</w:t>
      </w:r>
    </w:p>
    <w:p>
      <w:pPr>
        <w:pStyle w:val="2"/>
        <w:keepNext w:val="0"/>
        <w:keepLines w:val="0"/>
        <w:pageBreakBefore w:val="0"/>
        <w:widowControl w:val="0"/>
        <w:kinsoku/>
        <w:wordWrap/>
        <w:overflowPunct/>
        <w:topLinePunct w:val="0"/>
        <w:autoSpaceDE/>
        <w:autoSpaceDN/>
        <w:bidi w:val="0"/>
        <w:adjustRightInd/>
        <w:snapToGrid/>
        <w:spacing w:after="0" w:line="460" w:lineRule="exact"/>
        <w:ind w:left="0" w:firstLine="640" w:firstLineChars="200"/>
        <w:textAlignment w:val="auto"/>
        <w:rPr>
          <w:rFonts w:hint="default"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10.电子资源少，向社会推广优秀资源的能力有待加强。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460" w:lineRule="exact"/>
        <w:ind w:left="0" w:firstLine="640" w:firstLineChars="2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11.要重视</w:t>
      </w:r>
      <w:r>
        <w:rPr>
          <w:rFonts w:hint="default" w:ascii="仿宋" w:hAnsi="仿宋" w:eastAsia="仿宋" w:cs="仿宋"/>
          <w:color w:val="auto"/>
          <w:kern w:val="2"/>
          <w:sz w:val="32"/>
          <w:szCs w:val="32"/>
          <w:u w:val="none"/>
          <w:lang w:val="en-US" w:eastAsia="zh-CN" w:bidi="ar-SA"/>
        </w:rPr>
        <w:t>科学研究</w:t>
      </w:r>
      <w:r>
        <w:rPr>
          <w:rFonts w:hint="eastAsia" w:ascii="仿宋" w:hAnsi="仿宋" w:eastAsia="仿宋" w:cs="仿宋"/>
          <w:color w:val="auto"/>
          <w:kern w:val="2"/>
          <w:sz w:val="32"/>
          <w:szCs w:val="32"/>
          <w:u w:val="none"/>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Calibri"/>
          <w:color w:val="auto"/>
          <w:kern w:val="2"/>
          <w:sz w:val="32"/>
          <w:szCs w:val="32"/>
          <w:u w:val="none"/>
          <w:lang w:val="en-US" w:eastAsia="zh-CN" w:bidi="ar-SA"/>
        </w:rPr>
      </w:pPr>
      <w:r>
        <w:rPr>
          <w:rFonts w:hint="eastAsia" w:ascii="仿宋" w:hAnsi="仿宋" w:eastAsia="仿宋" w:cs="Calibri"/>
          <w:color w:val="auto"/>
          <w:kern w:val="2"/>
          <w:sz w:val="32"/>
          <w:szCs w:val="32"/>
          <w:u w:val="none"/>
          <w:lang w:val="en-US" w:eastAsia="zh-CN" w:bidi="ar-SA"/>
        </w:rPr>
        <w:t>12.要加强校外实践基地建设，进一步</w:t>
      </w:r>
      <w:bookmarkStart w:id="1" w:name="_GoBack"/>
      <w:bookmarkEnd w:id="1"/>
      <w:r>
        <w:rPr>
          <w:rFonts w:hint="eastAsia" w:ascii="仿宋" w:hAnsi="仿宋" w:eastAsia="仿宋" w:cs="Calibri"/>
          <w:color w:val="auto"/>
          <w:kern w:val="2"/>
          <w:sz w:val="32"/>
          <w:szCs w:val="32"/>
          <w:u w:val="none"/>
          <w:lang w:val="en-US" w:eastAsia="zh-CN" w:bidi="ar-SA"/>
        </w:rPr>
        <w:t>加强与企业、职业院校合作办学，更好地服务地方经济社会发展。</w:t>
      </w:r>
    </w:p>
    <w:p>
      <w:pPr>
        <w:pStyle w:val="3"/>
        <w:keepNext w:val="0"/>
        <w:keepLines w:val="0"/>
        <w:pageBreakBefore w:val="0"/>
        <w:kinsoku/>
        <w:wordWrap/>
        <w:overflowPunct/>
        <w:topLinePunct w:val="0"/>
        <w:autoSpaceDE/>
        <w:autoSpaceDN/>
        <w:bidi w:val="0"/>
        <w:adjustRightInd/>
        <w:snapToGrid/>
        <w:spacing w:after="0" w:line="460" w:lineRule="exact"/>
        <w:ind w:firstLine="640" w:firstLineChars="200"/>
        <w:textAlignment w:val="auto"/>
        <w:rPr>
          <w:rFonts w:hint="default"/>
          <w:color w:val="auto"/>
          <w:lang w:val="en-US" w:eastAsia="zh-CN"/>
        </w:rPr>
      </w:pPr>
      <w:r>
        <w:rPr>
          <w:rFonts w:hint="eastAsia" w:ascii="仿宋" w:hAnsi="仿宋" w:eastAsia="仿宋" w:cs="Calibri"/>
          <w:color w:val="auto"/>
          <w:kern w:val="2"/>
          <w:sz w:val="32"/>
          <w:szCs w:val="32"/>
          <w:u w:val="none"/>
          <w:lang w:val="en-US" w:eastAsia="zh-CN" w:bidi="ar-SA"/>
        </w:rPr>
        <w:t>13.要建立健全社区教育体系，积极推动老年开放大学建设。</w:t>
      </w:r>
    </w:p>
    <w:p>
      <w:pPr>
        <w:keepNext w:val="0"/>
        <w:keepLines w:val="0"/>
        <w:pageBreakBefore w:val="0"/>
        <w:widowControl w:val="0"/>
        <w:kinsoku/>
        <w:wordWrap/>
        <w:overflowPunct/>
        <w:topLinePunct w:val="0"/>
        <w:autoSpaceDE/>
        <w:autoSpaceDN/>
        <w:bidi w:val="0"/>
        <w:adjustRightInd/>
        <w:snapToGrid/>
        <w:spacing w:line="460" w:lineRule="exact"/>
        <w:ind w:left="0" w:firstLine="640" w:firstLineChars="200"/>
        <w:textAlignment w:val="auto"/>
        <w:rPr>
          <w:rFonts w:hint="eastAsia" w:ascii="仿宋" w:hAnsi="仿宋" w:eastAsia="仿宋" w:cs="仿宋"/>
          <w:color w:val="auto"/>
          <w:kern w:val="2"/>
          <w:sz w:val="32"/>
          <w:szCs w:val="32"/>
          <w:u w:val="none"/>
          <w:lang w:val="en-US" w:eastAsia="zh-CN" w:bidi="ar-SA"/>
        </w:rPr>
      </w:pPr>
      <w:r>
        <w:rPr>
          <w:rFonts w:hint="eastAsia" w:ascii="仿宋" w:hAnsi="仿宋" w:eastAsia="仿宋" w:cs="仿宋"/>
          <w:color w:val="auto"/>
          <w:kern w:val="2"/>
          <w:sz w:val="32"/>
          <w:szCs w:val="32"/>
          <w:u w:val="none"/>
          <w:lang w:val="en-US" w:eastAsia="zh-CN" w:bidi="ar-SA"/>
        </w:rPr>
        <w:t>14.要积极做好经费上缴工作，目前历史学费分成欠款192万。</w:t>
      </w:r>
    </w:p>
    <w:p>
      <w:pPr>
        <w:keepNext w:val="0"/>
        <w:keepLines w:val="0"/>
        <w:pageBreakBefore w:val="0"/>
        <w:widowControl w:val="0"/>
        <w:kinsoku/>
        <w:wordWrap/>
        <w:overflowPunct/>
        <w:topLinePunct w:val="0"/>
        <w:autoSpaceDE/>
        <w:autoSpaceDN/>
        <w:bidi w:val="0"/>
        <w:adjustRightInd/>
        <w:snapToGrid/>
        <w:spacing w:line="500" w:lineRule="exact"/>
        <w:ind w:left="0" w:firstLine="640" w:firstLineChars="200"/>
        <w:textAlignment w:val="auto"/>
        <w:rPr>
          <w:rFonts w:hint="default" w:ascii="仿宋" w:hAnsi="仿宋" w:eastAsia="仿宋" w:cs="仿宋"/>
          <w:kern w:val="2"/>
          <w:sz w:val="32"/>
          <w:szCs w:val="32"/>
          <w:u w:val="none"/>
          <w:lang w:val="en-US" w:eastAsia="zh-CN" w:bidi="ar-SA"/>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Helvetica Neue">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方正小标宋简体">
    <w:altName w:val="方正舒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冬青黑体简体中文 W3">
    <w:altName w:val="Times New Roman"/>
    <w:panose1 w:val="00000000000000000000"/>
    <w:charset w:val="00"/>
    <w:family w:val="roman"/>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6"/>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- 10 -</w:t>
                </w:r>
                <w:r>
                  <w:rPr>
                    <w:rFonts w:hint="eastAsia"/>
                    <w:sz w:val="28"/>
                    <w:szCs w:val="44"/>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31A1FE"/>
    <w:multiLevelType w:val="singleLevel"/>
    <w:tmpl w:val="A931A1FE"/>
    <w:lvl w:ilvl="0" w:tentative="0">
      <w:start w:val="7"/>
      <w:numFmt w:val="chineseCounting"/>
      <w:suff w:val="nothing"/>
      <w:lvlText w:val="（%1）"/>
      <w:lvlJc w:val="left"/>
      <w:rPr>
        <w:rFonts w:hint="eastAsia"/>
      </w:rPr>
    </w:lvl>
  </w:abstractNum>
  <w:abstractNum w:abstractNumId="1">
    <w:nsid w:val="F254FC2E"/>
    <w:multiLevelType w:val="singleLevel"/>
    <w:tmpl w:val="F254FC2E"/>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RiNmY0NzcwZmVjMTcwMmU4MDY3ZmRiZDYwZDdhZTMifQ=="/>
  </w:docVars>
  <w:rsids>
    <w:rsidRoot w:val="269B63B7"/>
    <w:rsid w:val="00056EE0"/>
    <w:rsid w:val="0008722B"/>
    <w:rsid w:val="000B59FF"/>
    <w:rsid w:val="00170C17"/>
    <w:rsid w:val="00182D9A"/>
    <w:rsid w:val="001D38C7"/>
    <w:rsid w:val="003C5055"/>
    <w:rsid w:val="003F2854"/>
    <w:rsid w:val="00507A71"/>
    <w:rsid w:val="00507F7F"/>
    <w:rsid w:val="00527A15"/>
    <w:rsid w:val="00537751"/>
    <w:rsid w:val="00616F79"/>
    <w:rsid w:val="00673E34"/>
    <w:rsid w:val="006D793C"/>
    <w:rsid w:val="006F5294"/>
    <w:rsid w:val="00757722"/>
    <w:rsid w:val="00797015"/>
    <w:rsid w:val="007C421F"/>
    <w:rsid w:val="00817377"/>
    <w:rsid w:val="0084627C"/>
    <w:rsid w:val="008A0C2F"/>
    <w:rsid w:val="008C443C"/>
    <w:rsid w:val="00903F21"/>
    <w:rsid w:val="009965D2"/>
    <w:rsid w:val="009A0FC9"/>
    <w:rsid w:val="009F507E"/>
    <w:rsid w:val="00A20C82"/>
    <w:rsid w:val="00A413A1"/>
    <w:rsid w:val="00B35134"/>
    <w:rsid w:val="00C01F73"/>
    <w:rsid w:val="00C4501F"/>
    <w:rsid w:val="00C95603"/>
    <w:rsid w:val="00CC045E"/>
    <w:rsid w:val="00CC397E"/>
    <w:rsid w:val="00CD3C5B"/>
    <w:rsid w:val="00CF5BC7"/>
    <w:rsid w:val="00DE34E6"/>
    <w:rsid w:val="00E54CC4"/>
    <w:rsid w:val="00E64EE5"/>
    <w:rsid w:val="00E77580"/>
    <w:rsid w:val="00EE5434"/>
    <w:rsid w:val="00EF37E4"/>
    <w:rsid w:val="00F31752"/>
    <w:rsid w:val="00FE553A"/>
    <w:rsid w:val="01586992"/>
    <w:rsid w:val="017A5691"/>
    <w:rsid w:val="03806F86"/>
    <w:rsid w:val="046B351D"/>
    <w:rsid w:val="05FB4360"/>
    <w:rsid w:val="07044DAD"/>
    <w:rsid w:val="0852269D"/>
    <w:rsid w:val="09622A05"/>
    <w:rsid w:val="09C474A0"/>
    <w:rsid w:val="09C9573A"/>
    <w:rsid w:val="0B6270BD"/>
    <w:rsid w:val="0CCD0C4F"/>
    <w:rsid w:val="0D1A70DF"/>
    <w:rsid w:val="0D4E3C51"/>
    <w:rsid w:val="0FCF4987"/>
    <w:rsid w:val="12B6721C"/>
    <w:rsid w:val="158352D9"/>
    <w:rsid w:val="1654261E"/>
    <w:rsid w:val="173E4D36"/>
    <w:rsid w:val="176C3CB9"/>
    <w:rsid w:val="19740676"/>
    <w:rsid w:val="1B152FFB"/>
    <w:rsid w:val="1F3A45D2"/>
    <w:rsid w:val="20F61137"/>
    <w:rsid w:val="213E158B"/>
    <w:rsid w:val="22891207"/>
    <w:rsid w:val="22C96CB3"/>
    <w:rsid w:val="23E35A0D"/>
    <w:rsid w:val="25472F43"/>
    <w:rsid w:val="268A2AE6"/>
    <w:rsid w:val="269B63B7"/>
    <w:rsid w:val="26EA4592"/>
    <w:rsid w:val="285A5ABB"/>
    <w:rsid w:val="291A59EA"/>
    <w:rsid w:val="2A494B89"/>
    <w:rsid w:val="2A7E23FC"/>
    <w:rsid w:val="2A9D6147"/>
    <w:rsid w:val="2EFB5988"/>
    <w:rsid w:val="37F25A1B"/>
    <w:rsid w:val="3A606BEE"/>
    <w:rsid w:val="3B574A27"/>
    <w:rsid w:val="3B9C1EA7"/>
    <w:rsid w:val="3BCC3E0F"/>
    <w:rsid w:val="42BE4603"/>
    <w:rsid w:val="43192B8F"/>
    <w:rsid w:val="44E73A68"/>
    <w:rsid w:val="458A28CE"/>
    <w:rsid w:val="484B7E50"/>
    <w:rsid w:val="4B873A20"/>
    <w:rsid w:val="4C4A7415"/>
    <w:rsid w:val="4D10167A"/>
    <w:rsid w:val="4D9E2ACF"/>
    <w:rsid w:val="4ED41501"/>
    <w:rsid w:val="4F8F272B"/>
    <w:rsid w:val="51034E74"/>
    <w:rsid w:val="51BC6513"/>
    <w:rsid w:val="52C40D02"/>
    <w:rsid w:val="538434F5"/>
    <w:rsid w:val="53EC2772"/>
    <w:rsid w:val="556F4A35"/>
    <w:rsid w:val="55D818D6"/>
    <w:rsid w:val="57271696"/>
    <w:rsid w:val="58166C30"/>
    <w:rsid w:val="5829374F"/>
    <w:rsid w:val="5A765E20"/>
    <w:rsid w:val="60297775"/>
    <w:rsid w:val="6052655D"/>
    <w:rsid w:val="639B315F"/>
    <w:rsid w:val="63E64EB7"/>
    <w:rsid w:val="65ED7DD4"/>
    <w:rsid w:val="68246BFD"/>
    <w:rsid w:val="6A162EE1"/>
    <w:rsid w:val="6A9E2C97"/>
    <w:rsid w:val="6CFC5A53"/>
    <w:rsid w:val="6E4749D3"/>
    <w:rsid w:val="71326E06"/>
    <w:rsid w:val="73866B03"/>
    <w:rsid w:val="74BF014E"/>
    <w:rsid w:val="75023A96"/>
    <w:rsid w:val="75830479"/>
    <w:rsid w:val="761C05A0"/>
    <w:rsid w:val="775E6625"/>
    <w:rsid w:val="7B852703"/>
    <w:rsid w:val="7C4D40BB"/>
    <w:rsid w:val="7ED40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9"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5"/>
    <w:basedOn w:val="1"/>
    <w:next w:val="1"/>
    <w:semiHidden/>
    <w:unhideWhenUsed/>
    <w:qFormat/>
    <w:uiPriority w:val="9"/>
    <w:pPr>
      <w:keepNext/>
      <w:keepLines/>
      <w:spacing w:before="280" w:after="290"/>
      <w:outlineLvl w:val="4"/>
    </w:pPr>
    <w:rPr>
      <w:rFonts w:eastAsia="楷体_GB2312"/>
      <w:b/>
      <w:bCs/>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Body Text First Indent"/>
    <w:basedOn w:val="2"/>
    <w:next w:val="4"/>
    <w:qFormat/>
    <w:uiPriority w:val="0"/>
    <w:pPr>
      <w:ind w:firstLine="420" w:firstLineChars="100"/>
    </w:pPr>
  </w:style>
  <w:style w:type="paragraph" w:styleId="4">
    <w:name w:val="Title"/>
    <w:basedOn w:val="1"/>
    <w:next w:val="1"/>
    <w:qFormat/>
    <w:uiPriority w:val="0"/>
    <w:pPr>
      <w:jc w:val="center"/>
      <w:outlineLvl w:val="0"/>
    </w:pPr>
    <w:rPr>
      <w:rFonts w:ascii="Arial" w:hAnsi="Arial" w:eastAsia="宋体" w:cs="Times New Roman"/>
      <w:b/>
      <w:sz w:val="3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16"/>
    <w:qFormat/>
    <w:uiPriority w:val="0"/>
    <w:rPr>
      <w:rFonts w:hint="default" w:ascii="Times New Roman" w:hAnsi="Times New Roman" w:cs="Times New Roman"/>
    </w:rPr>
  </w:style>
  <w:style w:type="paragraph" w:styleId="12">
    <w:name w:val="List Paragraph"/>
    <w:basedOn w:val="1"/>
    <w:qFormat/>
    <w:uiPriority w:val="99"/>
    <w:pPr>
      <w:ind w:firstLine="420" w:firstLineChars="200"/>
    </w:pPr>
  </w:style>
  <w:style w:type="paragraph" w:customStyle="1" w:styleId="13">
    <w:name w:val="內文"/>
    <w:qFormat/>
    <w:uiPriority w:val="0"/>
    <w:rPr>
      <w:rFonts w:hint="eastAsia" w:ascii="Arial Unicode MS" w:hAnsi="Arial Unicode MS" w:eastAsia="Helvetica Neue" w:cs="Arial Unicode MS"/>
      <w:color w:val="000000"/>
      <w:sz w:val="22"/>
      <w:szCs w:val="22"/>
      <w:lang w:val="zh-CN"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7782</Words>
  <Characters>8303</Characters>
  <Lines>13</Lines>
  <Paragraphs>18</Paragraphs>
  <TotalTime>1</TotalTime>
  <ScaleCrop>false</ScaleCrop>
  <LinksUpToDate>false</LinksUpToDate>
  <CharactersWithSpaces>8343</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2021-03-17T03:22:00Z</dcterms:created>
  <dc:creator>青</dc:creator>
  <cp:lastModifiedBy>青</cp:lastModifiedBy>
  <cp:lastPrinted>2022-06-15T05:05:00Z</cp:lastPrinted>
  <dcterms:modified xsi:type="dcterms:W3CDTF">2022-07-27T14:12:33Z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y fmtid="{D5CDD505-2E9C-101B-9397-08002B2CF9AE}" pid="3" name="ICV">
    <vt:lpwstr>138431B0A9734C11A4B60BE1D9D4DC75</vt:lpwstr>
  </property>
</Properties>
</file>